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6F122" w14:textId="73228E3C" w:rsidR="009B3925" w:rsidRPr="003660A1" w:rsidRDefault="008A7168" w:rsidP="008A7168">
      <w:pPr>
        <w:pStyle w:val="Heading1"/>
      </w:pPr>
      <w:r>
        <w:t>1000.345</w:t>
      </w:r>
      <w:r>
        <w:tab/>
      </w:r>
      <w:r w:rsidR="009B3925" w:rsidRPr="003660A1">
        <w:t xml:space="preserve">EMPLOYEE </w:t>
      </w:r>
      <w:r w:rsidR="002C5134" w:rsidRPr="003660A1">
        <w:t xml:space="preserve">SEX DISCRIMINATION </w:t>
      </w:r>
      <w:r w:rsidR="009B3925" w:rsidRPr="003660A1">
        <w:t xml:space="preserve">DISCIPLINARY </w:t>
      </w:r>
      <w:r>
        <w:t xml:space="preserve">HEARING </w:t>
      </w:r>
      <w:r w:rsidR="009B3925" w:rsidRPr="003660A1">
        <w:t>PROCEDURE</w:t>
      </w:r>
    </w:p>
    <w:p w14:paraId="0DD00883" w14:textId="77777777" w:rsidR="008A7168" w:rsidRDefault="008A7168" w:rsidP="008A7168">
      <w:pPr>
        <w:pStyle w:val="Heading2"/>
      </w:pPr>
      <w:r>
        <w:t>A.</w:t>
      </w:r>
      <w:r>
        <w:tab/>
        <w:t>ORDER OF PRECEDENCE</w:t>
      </w:r>
    </w:p>
    <w:p w14:paraId="1B297820" w14:textId="11C1DBA0" w:rsidR="008A7168" w:rsidRDefault="008A7168" w:rsidP="008A7168">
      <w:pPr>
        <w:pStyle w:val="BodyText025"/>
      </w:pPr>
      <w:r>
        <w:t xml:space="preserve">This employee discipline procedure applies to allegations of sex discrimination and sex-based harassment subject to regulations promulgated under Title IX by the United States Department of Education. See </w:t>
      </w:r>
      <w:hyperlink r:id="rId11" w:history="1">
        <w:r w:rsidRPr="00F83318">
          <w:rPr>
            <w:rStyle w:val="Hyperlink"/>
          </w:rPr>
          <w:t>34 C.F.R. § 106</w:t>
        </w:r>
      </w:hyperlink>
      <w:r>
        <w:t xml:space="preserve">. Disciplinary proceedings against an employee respondent alleged to have engaged in sex discrimination or sex-based harassment in violation of Title IX shall be governed by the college’s </w:t>
      </w:r>
      <w:hyperlink r:id="rId12" w:history="1">
        <w:r w:rsidRPr="00CE281E">
          <w:rPr>
            <w:rStyle w:val="Hyperlink"/>
          </w:rPr>
          <w:t>formal hearing policy 000.050</w:t>
        </w:r>
      </w:hyperlink>
      <w:r>
        <w:t xml:space="preserve">, and </w:t>
      </w:r>
      <w:hyperlink r:id="rId13" w:history="1">
        <w:r w:rsidRPr="00CE281E">
          <w:rPr>
            <w:rStyle w:val="Hyperlink"/>
          </w:rPr>
          <w:t>procedure 1</w:t>
        </w:r>
        <w:r w:rsidR="00210642">
          <w:rPr>
            <w:rStyle w:val="Hyperlink"/>
          </w:rPr>
          <w:t>0</w:t>
        </w:r>
        <w:r w:rsidRPr="00CE281E">
          <w:rPr>
            <w:rStyle w:val="Hyperlink"/>
          </w:rPr>
          <w:t>00.050</w:t>
        </w:r>
      </w:hyperlink>
      <w:r>
        <w:t xml:space="preserve"> and this disciplinary procedure. To the extent this procedure conflicts with provisions set forth in employment contracts, collective bargaining agreements, employee handbooks, and other Wenatchee Valley </w:t>
      </w:r>
      <w:r w:rsidR="00B252F5">
        <w:t>college</w:t>
      </w:r>
      <w:r>
        <w:t xml:space="preserve"> employment policies and procedures, this disciplinary procedure will take precedence.</w:t>
      </w:r>
    </w:p>
    <w:p w14:paraId="20F21408" w14:textId="77777777" w:rsidR="008A7168" w:rsidRDefault="008A7168" w:rsidP="008A7168">
      <w:pPr>
        <w:pStyle w:val="BodyText025"/>
      </w:pPr>
      <w:r>
        <w:t xml:space="preserve">Notwithstanding the foregoing, if respondent is a tenured or probationary faculty member and the Title IX coordinator determines that the facts found in the investigation in the investigation report would </w:t>
      </w:r>
      <w:r w:rsidRPr="00BB6F81">
        <w:t>warrant respondent’s dismissal from the college</w:t>
      </w:r>
      <w:r>
        <w:t xml:space="preserve"> if proven at hearing</w:t>
      </w:r>
      <w:r w:rsidRPr="00BB6F81">
        <w:t xml:space="preserve">, the Title IX coordinator will refer the matter to the tenure dismissal committee for a hearing pursuant to </w:t>
      </w:r>
      <w:hyperlink r:id="rId14" w:history="1">
        <w:r w:rsidRPr="00F83318">
          <w:rPr>
            <w:rStyle w:val="Hyperlink"/>
          </w:rPr>
          <w:t>RCW 28B.50.863</w:t>
        </w:r>
      </w:hyperlink>
      <w:r w:rsidRPr="00BB6F81">
        <w:t xml:space="preserve"> and applicable procedures set forth in the faculty union collective bargaining agreement (CBA). To the extent the </w:t>
      </w:r>
      <w:r>
        <w:t xml:space="preserve">CBA’s </w:t>
      </w:r>
      <w:r w:rsidRPr="00BB6F81">
        <w:t>tenure dismissal committee procedures are inconsistent or conflict with Sections B through G of this procedure, th</w:t>
      </w:r>
      <w:r>
        <w:t>e</w:t>
      </w:r>
      <w:r w:rsidRPr="00BB6F81">
        <w:t xml:space="preserve"> </w:t>
      </w:r>
      <w:r>
        <w:t xml:space="preserve">disciplinary </w:t>
      </w:r>
      <w:r w:rsidRPr="00BB6F81">
        <w:t xml:space="preserve">procedure sections will prevail. At the end of the hearing, the tenure dismissal committee will issue a recommendation consistent with the provisions set forth in Section H. </w:t>
      </w:r>
      <w:r>
        <w:t>Subject to the procedures set forth below, complainant</w:t>
      </w:r>
      <w:r w:rsidRPr="00BB6F81">
        <w:t xml:space="preserve"> shall have the same right to appear and</w:t>
      </w:r>
      <w:r>
        <w:t xml:space="preserve"> participate in the proceedings as the respondent, including the right to present their position on the recommendation to the president before final action is taken.</w:t>
      </w:r>
    </w:p>
    <w:p w14:paraId="3C8B48A8" w14:textId="77777777" w:rsidR="00992138" w:rsidRDefault="00992138" w:rsidP="00992138">
      <w:r w:rsidRPr="009A3754">
        <w:rPr>
          <w:rFonts w:eastAsia="MS Mincho"/>
          <w:i/>
        </w:rPr>
        <w:t xml:space="preserve">Discrimination and discriminatory harassment </w:t>
      </w:r>
      <w:r>
        <w:rPr>
          <w:rFonts w:eastAsia="MS Mincho"/>
          <w:i/>
        </w:rPr>
        <w:t>are</w:t>
      </w:r>
      <w:r w:rsidRPr="009A3754">
        <w:rPr>
          <w:rFonts w:eastAsia="MS Mincho"/>
          <w:i/>
        </w:rPr>
        <w:t xml:space="preserve"> addressed separately in the college’s discrimination and </w:t>
      </w:r>
      <w:r>
        <w:rPr>
          <w:rFonts w:eastAsia="MS Mincho"/>
          <w:i/>
        </w:rPr>
        <w:t xml:space="preserve">discriminatory </w:t>
      </w:r>
      <w:r w:rsidRPr="009A3754">
        <w:rPr>
          <w:rFonts w:eastAsia="MS Mincho"/>
          <w:i/>
        </w:rPr>
        <w:t>harassment policy 000.330</w:t>
      </w:r>
      <w:r>
        <w:rPr>
          <w:rFonts w:eastAsia="MS Mincho"/>
          <w:i/>
        </w:rPr>
        <w:t xml:space="preserve"> and procedure 1000.330</w:t>
      </w:r>
      <w:r w:rsidRPr="009A3754">
        <w:rPr>
          <w:rFonts w:eastAsia="MS Mincho"/>
          <w:i/>
        </w:rPr>
        <w:t>.</w:t>
      </w:r>
    </w:p>
    <w:p w14:paraId="466F182B" w14:textId="77777777" w:rsidR="00992138" w:rsidRDefault="00992138" w:rsidP="00992138">
      <w:pPr>
        <w:pStyle w:val="Heading2"/>
      </w:pPr>
      <w:r>
        <w:t>B.</w:t>
      </w:r>
      <w:r>
        <w:tab/>
        <w:t>PROHIBITED CONDUCT UNDER TITLE IX</w:t>
      </w:r>
    </w:p>
    <w:p w14:paraId="2EFEF9DF" w14:textId="77777777" w:rsidR="00992138" w:rsidRDefault="00992138" w:rsidP="00992138">
      <w:pPr>
        <w:pStyle w:val="BodyText025"/>
      </w:pPr>
      <w:r>
        <w:t>The college may impose disciplinary sanctions up to and including dismissal from the college against an employee who has been found responsible for committing, attempting to commit, aiding, abetting, inciting, encouraging or assisting another person to commit or engage in acts of sex discrimination, which include sex-based harassment.</w:t>
      </w:r>
    </w:p>
    <w:p w14:paraId="06C4A819" w14:textId="77777777" w:rsidR="00992138" w:rsidRDefault="00992138" w:rsidP="00992138">
      <w:pPr>
        <w:pStyle w:val="BodyText025"/>
      </w:pPr>
      <w:r>
        <w:t xml:space="preserve">For purposes of this supplemental procedure, the following conduct is prohibited: </w:t>
      </w:r>
    </w:p>
    <w:p w14:paraId="41717085" w14:textId="74DBA8DE" w:rsidR="00992138" w:rsidRDefault="00992138" w:rsidP="00992138">
      <w:pPr>
        <w:pStyle w:val="Heading3"/>
      </w:pPr>
      <w:r>
        <w:t>1.</w:t>
      </w:r>
      <w:r>
        <w:tab/>
      </w:r>
      <w:r w:rsidR="00607B0B" w:rsidRPr="00607B0B">
        <w:rPr>
          <w:b/>
          <w:bCs/>
        </w:rPr>
        <w:t>S</w:t>
      </w:r>
      <w:r w:rsidR="00CF7DBC">
        <w:rPr>
          <w:b/>
          <w:bCs/>
        </w:rPr>
        <w:t xml:space="preserve">ex </w:t>
      </w:r>
      <w:r w:rsidR="00607B0B">
        <w:rPr>
          <w:b/>
          <w:bCs/>
        </w:rPr>
        <w:t>D</w:t>
      </w:r>
      <w:r w:rsidR="00CF7DBC">
        <w:rPr>
          <w:b/>
          <w:bCs/>
        </w:rPr>
        <w:t>iscrimination</w:t>
      </w:r>
      <w:r>
        <w:t>. Sex discrimination occurs when a respondent causes a complainant more than de minimis (insignificant) harm by treating the complainant differently from other similarly situated individual(s) based on:</w:t>
      </w:r>
    </w:p>
    <w:p w14:paraId="37F662F4" w14:textId="77777777" w:rsidR="00992138" w:rsidRDefault="00992138" w:rsidP="00992138">
      <w:pPr>
        <w:pStyle w:val="Heading4"/>
      </w:pPr>
      <w:r>
        <w:t>a.</w:t>
      </w:r>
      <w:r>
        <w:tab/>
        <w:t>Sex stereotypes;</w:t>
      </w:r>
    </w:p>
    <w:p w14:paraId="023EECCE" w14:textId="77777777" w:rsidR="00992138" w:rsidRDefault="00992138" w:rsidP="00992138">
      <w:pPr>
        <w:pStyle w:val="Heading4"/>
      </w:pPr>
      <w:r>
        <w:t>b.</w:t>
      </w:r>
      <w:r>
        <w:tab/>
        <w:t>Sex characteristics;</w:t>
      </w:r>
    </w:p>
    <w:p w14:paraId="430F5D39" w14:textId="77777777" w:rsidR="00992138" w:rsidRDefault="00992138" w:rsidP="00992138">
      <w:pPr>
        <w:pStyle w:val="Heading4"/>
      </w:pPr>
      <w:r>
        <w:t>c.</w:t>
      </w:r>
      <w:r>
        <w:tab/>
        <w:t>Pregnancy or related conditions;</w:t>
      </w:r>
    </w:p>
    <w:p w14:paraId="3F782B00" w14:textId="77777777" w:rsidR="00992138" w:rsidRDefault="00992138" w:rsidP="00992138">
      <w:pPr>
        <w:pStyle w:val="Heading4"/>
      </w:pPr>
      <w:r>
        <w:t>d.</w:t>
      </w:r>
      <w:r>
        <w:tab/>
        <w:t>Sexual orientation; or</w:t>
      </w:r>
    </w:p>
    <w:p w14:paraId="001680EF" w14:textId="77777777" w:rsidR="00992138" w:rsidRDefault="00992138" w:rsidP="00992138">
      <w:pPr>
        <w:pStyle w:val="Heading4"/>
      </w:pPr>
      <w:r>
        <w:t>e.</w:t>
      </w:r>
      <w:r>
        <w:tab/>
        <w:t>Gender identity.</w:t>
      </w:r>
    </w:p>
    <w:p w14:paraId="7A5D13CF" w14:textId="194B7A5F" w:rsidR="00992138" w:rsidRDefault="00992138" w:rsidP="00992138">
      <w:pPr>
        <w:pStyle w:val="BodyText025"/>
      </w:pPr>
      <w:r>
        <w:t>Preventing a person from participating in an education program or activity consistent with their gender identity constitutes more than de minimis</w:t>
      </w:r>
      <w:r w:rsidR="00770493">
        <w:t xml:space="preserve"> </w:t>
      </w:r>
      <w:r>
        <w:t>harm and is prohibited.</w:t>
      </w:r>
    </w:p>
    <w:p w14:paraId="2756F253" w14:textId="39928DF3" w:rsidR="007E0B94" w:rsidRPr="003660A1" w:rsidRDefault="00992138" w:rsidP="00992138">
      <w:pPr>
        <w:pStyle w:val="Heading3"/>
      </w:pPr>
      <w:r>
        <w:rPr>
          <w:bCs/>
        </w:rPr>
        <w:t>2</w:t>
      </w:r>
      <w:r w:rsidRPr="00992138">
        <w:rPr>
          <w:bCs/>
        </w:rPr>
        <w:t>.</w:t>
      </w:r>
      <w:r w:rsidR="0051735E" w:rsidRPr="003660A1">
        <w:rPr>
          <w:b/>
        </w:rPr>
        <w:tab/>
      </w:r>
      <w:r w:rsidR="00607B0B">
        <w:rPr>
          <w:b/>
        </w:rPr>
        <w:t>S</w:t>
      </w:r>
      <w:r w:rsidR="00625A65">
        <w:rPr>
          <w:b/>
        </w:rPr>
        <w:t xml:space="preserve">ex-based </w:t>
      </w:r>
      <w:r w:rsidR="00607B0B">
        <w:rPr>
          <w:b/>
        </w:rPr>
        <w:t>H</w:t>
      </w:r>
      <w:r w:rsidR="00625A65">
        <w:rPr>
          <w:b/>
        </w:rPr>
        <w:t>arassment</w:t>
      </w:r>
      <w:r w:rsidR="00463B46" w:rsidRPr="003660A1">
        <w:t xml:space="preserve"> is a type of </w:t>
      </w:r>
      <w:r>
        <w:t>s</w:t>
      </w:r>
      <w:r w:rsidR="00463B46" w:rsidRPr="003660A1">
        <w:t xml:space="preserve">ex </w:t>
      </w:r>
      <w:r>
        <w:t>d</w:t>
      </w:r>
      <w:r w:rsidR="00463B46" w:rsidRPr="003660A1">
        <w:t>iscrimination that includes</w:t>
      </w:r>
      <w:r w:rsidR="00436EB4" w:rsidRPr="003660A1">
        <w:t>:</w:t>
      </w:r>
    </w:p>
    <w:p w14:paraId="19A4B135" w14:textId="2BB3A5A9" w:rsidR="00436EB4" w:rsidRPr="003660A1" w:rsidRDefault="00992138" w:rsidP="00992138">
      <w:pPr>
        <w:pStyle w:val="Heading4"/>
        <w:rPr>
          <w:rFonts w:eastAsia="Calibri"/>
        </w:rPr>
      </w:pPr>
      <w:r w:rsidRPr="00992138">
        <w:rPr>
          <w:rFonts w:eastAsia="Calibri"/>
          <w:bCs/>
        </w:rPr>
        <w:t>a.</w:t>
      </w:r>
      <w:r>
        <w:rPr>
          <w:rFonts w:eastAsia="Calibri"/>
          <w:b/>
        </w:rPr>
        <w:tab/>
      </w:r>
      <w:r w:rsidR="00436EB4" w:rsidRPr="003660A1">
        <w:rPr>
          <w:rFonts w:eastAsia="Calibri"/>
          <w:b/>
        </w:rPr>
        <w:t>Quid pro quo harassment</w:t>
      </w:r>
      <w:r w:rsidR="00436EB4" w:rsidRPr="003660A1">
        <w:rPr>
          <w:rFonts w:eastAsia="Calibri"/>
        </w:rPr>
        <w:t xml:space="preserve">. An employee authorized by the </w:t>
      </w:r>
      <w:r>
        <w:rPr>
          <w:rFonts w:eastAsia="Calibri"/>
        </w:rPr>
        <w:t>c</w:t>
      </w:r>
      <w:r w:rsidR="00436EB4" w:rsidRPr="003660A1">
        <w:rPr>
          <w:rFonts w:eastAsia="Calibri"/>
        </w:rPr>
        <w:t xml:space="preserve">ollege to provide an aid, benefit, or service under the </w:t>
      </w:r>
      <w:r>
        <w:rPr>
          <w:rFonts w:eastAsia="Calibri"/>
        </w:rPr>
        <w:t>c</w:t>
      </w:r>
      <w:r w:rsidR="00436EB4" w:rsidRPr="003660A1">
        <w:rPr>
          <w:rFonts w:eastAsia="Calibri"/>
        </w:rPr>
        <w:t xml:space="preserve">ollege’s education program or activity explicitly or </w:t>
      </w:r>
      <w:r w:rsidR="00436EB4" w:rsidRPr="003660A1">
        <w:rPr>
          <w:rFonts w:eastAsia="Calibri"/>
        </w:rPr>
        <w:lastRenderedPageBreak/>
        <w:t xml:space="preserve">impliedly conditioning the provision of such an aid, benefit, or service on a person’s participation in unwelcome sexual conduct. </w:t>
      </w:r>
    </w:p>
    <w:p w14:paraId="5E2F085B" w14:textId="4CAF9C42" w:rsidR="00436EB4" w:rsidRPr="003660A1" w:rsidRDefault="00992138" w:rsidP="00992138">
      <w:pPr>
        <w:pStyle w:val="Heading4"/>
        <w:rPr>
          <w:rFonts w:eastAsia="Calibri"/>
        </w:rPr>
      </w:pPr>
      <w:r w:rsidRPr="00992138">
        <w:rPr>
          <w:rFonts w:eastAsia="Calibri"/>
          <w:bCs/>
        </w:rPr>
        <w:t>b.</w:t>
      </w:r>
      <w:r>
        <w:rPr>
          <w:rFonts w:eastAsia="Calibri"/>
          <w:b/>
        </w:rPr>
        <w:tab/>
      </w:r>
      <w:r w:rsidR="00436EB4" w:rsidRPr="003660A1">
        <w:rPr>
          <w:rFonts w:eastAsia="Calibri"/>
          <w:b/>
        </w:rPr>
        <w:t>Hostile environment</w:t>
      </w:r>
      <w:r w:rsidR="00436EB4" w:rsidRPr="003660A1">
        <w:rPr>
          <w:rFonts w:eastAsia="Calibri"/>
        </w:rPr>
        <w:t>. Unwelcome sex-based conduct that, based on the totality of the circumstances, is subjectively and objectively offensive and is so severe or pervasive that it limits or denies a person’s ability to participate in or benefit from the recipient’s education program or activity (</w:t>
      </w:r>
      <w:r w:rsidR="00436EB4" w:rsidRPr="003660A1">
        <w:rPr>
          <w:rFonts w:eastAsia="Calibri"/>
          <w:i/>
        </w:rPr>
        <w:t>i.e.</w:t>
      </w:r>
      <w:r w:rsidR="00436EB4" w:rsidRPr="003660A1">
        <w:rPr>
          <w:rFonts w:eastAsia="Calibri"/>
        </w:rPr>
        <w:t>, creates a hostile environment). Whether a hostile environment has been created is a fact-specific inquiry that includes consideration of the following:</w:t>
      </w:r>
    </w:p>
    <w:p w14:paraId="4D607D8C" w14:textId="2E57CF40" w:rsidR="00436EB4" w:rsidRPr="003660A1" w:rsidRDefault="00992138" w:rsidP="00992138">
      <w:pPr>
        <w:pStyle w:val="Heading5"/>
        <w:rPr>
          <w:rFonts w:eastAsia="Calibri"/>
        </w:rPr>
      </w:pPr>
      <w:r>
        <w:rPr>
          <w:rFonts w:eastAsia="Calibri"/>
        </w:rPr>
        <w:t>i.</w:t>
      </w:r>
      <w:r>
        <w:rPr>
          <w:rFonts w:eastAsia="Calibri"/>
        </w:rPr>
        <w:tab/>
      </w:r>
      <w:r w:rsidR="00436EB4" w:rsidRPr="003660A1">
        <w:rPr>
          <w:rFonts w:eastAsia="Calibri"/>
        </w:rPr>
        <w:t xml:space="preserve">The degree to which the conduct affected the </w:t>
      </w:r>
      <w:r w:rsidR="00625A65">
        <w:rPr>
          <w:rFonts w:eastAsia="Calibri"/>
        </w:rPr>
        <w:t>complainant</w:t>
      </w:r>
      <w:r w:rsidR="00436EB4" w:rsidRPr="003660A1">
        <w:rPr>
          <w:rFonts w:eastAsia="Calibri"/>
        </w:rPr>
        <w:t xml:space="preserve">’s ability to access the </w:t>
      </w:r>
      <w:r w:rsidR="00B252F5">
        <w:rPr>
          <w:rFonts w:eastAsia="Calibri"/>
        </w:rPr>
        <w:t>college</w:t>
      </w:r>
      <w:r w:rsidR="00436EB4" w:rsidRPr="003660A1">
        <w:rPr>
          <w:rFonts w:eastAsia="Calibri"/>
        </w:rPr>
        <w:t>’s education program or activity;</w:t>
      </w:r>
    </w:p>
    <w:p w14:paraId="09BD52AF" w14:textId="72C295F7" w:rsidR="00436EB4" w:rsidRPr="003660A1" w:rsidRDefault="00992138" w:rsidP="00992138">
      <w:pPr>
        <w:pStyle w:val="Heading5"/>
        <w:rPr>
          <w:rFonts w:eastAsia="Calibri"/>
        </w:rPr>
      </w:pPr>
      <w:r>
        <w:rPr>
          <w:rFonts w:eastAsia="Calibri"/>
        </w:rPr>
        <w:t>ii.</w:t>
      </w:r>
      <w:r>
        <w:rPr>
          <w:rFonts w:eastAsia="Calibri"/>
        </w:rPr>
        <w:tab/>
      </w:r>
      <w:r w:rsidR="00436EB4" w:rsidRPr="003660A1">
        <w:rPr>
          <w:rFonts w:eastAsia="Calibri"/>
        </w:rPr>
        <w:t>The type, frequency, and duration of the conduct;</w:t>
      </w:r>
    </w:p>
    <w:p w14:paraId="3F19A97D" w14:textId="674984EC" w:rsidR="00436EB4" w:rsidRPr="003660A1" w:rsidRDefault="00992138" w:rsidP="00992138">
      <w:pPr>
        <w:pStyle w:val="Heading5"/>
        <w:rPr>
          <w:rFonts w:eastAsia="Calibri"/>
        </w:rPr>
      </w:pPr>
      <w:r>
        <w:rPr>
          <w:rFonts w:eastAsia="Calibri"/>
        </w:rPr>
        <w:t>iii.</w:t>
      </w:r>
      <w:r>
        <w:rPr>
          <w:rFonts w:eastAsia="Calibri"/>
        </w:rPr>
        <w:tab/>
      </w:r>
      <w:r w:rsidR="00436EB4" w:rsidRPr="003660A1">
        <w:rPr>
          <w:rFonts w:eastAsia="Calibri"/>
        </w:rPr>
        <w:t xml:space="preserve">The </w:t>
      </w:r>
      <w:r w:rsidR="00D25779">
        <w:rPr>
          <w:rFonts w:eastAsia="Calibri"/>
        </w:rPr>
        <w:t>parties</w:t>
      </w:r>
      <w:r w:rsidR="00436EB4" w:rsidRPr="003660A1">
        <w:rPr>
          <w:rFonts w:eastAsia="Calibri"/>
        </w:rPr>
        <w:t xml:space="preserve">’ ages, roles within the </w:t>
      </w:r>
      <w:r w:rsidR="00B252F5">
        <w:rPr>
          <w:rFonts w:eastAsia="Calibri"/>
        </w:rPr>
        <w:t>college</w:t>
      </w:r>
      <w:r w:rsidR="00436EB4" w:rsidRPr="003660A1">
        <w:rPr>
          <w:rFonts w:eastAsia="Calibri"/>
        </w:rPr>
        <w:t xml:space="preserve">’s education program or activity, previous interactions, and other factors about each </w:t>
      </w:r>
      <w:r w:rsidR="00642918">
        <w:rPr>
          <w:rFonts w:eastAsia="Calibri"/>
        </w:rPr>
        <w:t>party</w:t>
      </w:r>
      <w:r w:rsidR="00436EB4" w:rsidRPr="003660A1">
        <w:rPr>
          <w:rFonts w:eastAsia="Calibri"/>
        </w:rPr>
        <w:t xml:space="preserve"> that may be relevant to evaluating the effects of the conduct;</w:t>
      </w:r>
    </w:p>
    <w:p w14:paraId="6B0275E0" w14:textId="75AA64D5" w:rsidR="00463B46" w:rsidRPr="003660A1" w:rsidRDefault="00992138" w:rsidP="00992138">
      <w:pPr>
        <w:pStyle w:val="Heading5"/>
        <w:rPr>
          <w:rFonts w:eastAsia="Calibri"/>
        </w:rPr>
      </w:pPr>
      <w:r>
        <w:rPr>
          <w:rFonts w:eastAsia="Calibri"/>
        </w:rPr>
        <w:t>iv.</w:t>
      </w:r>
      <w:r>
        <w:rPr>
          <w:rFonts w:eastAsia="Calibri"/>
        </w:rPr>
        <w:tab/>
      </w:r>
      <w:r w:rsidR="00436EB4" w:rsidRPr="003660A1">
        <w:rPr>
          <w:rFonts w:eastAsia="Calibri"/>
        </w:rPr>
        <w:t>The location of the conduct and the context in which the conduct occurred</w:t>
      </w:r>
      <w:r w:rsidR="00463B46" w:rsidRPr="003660A1">
        <w:rPr>
          <w:rFonts w:eastAsia="Calibri"/>
        </w:rPr>
        <w:t>; and</w:t>
      </w:r>
    </w:p>
    <w:p w14:paraId="7D53ACAD" w14:textId="13162621" w:rsidR="00463B46" w:rsidRPr="003660A1" w:rsidRDefault="00992138" w:rsidP="00992138">
      <w:pPr>
        <w:pStyle w:val="Heading5"/>
      </w:pPr>
      <w:r>
        <w:t>v.</w:t>
      </w:r>
      <w:r>
        <w:tab/>
      </w:r>
      <w:r w:rsidR="00463B46" w:rsidRPr="003660A1">
        <w:t xml:space="preserve">Other </w:t>
      </w:r>
      <w:r w:rsidR="00625A65">
        <w:t>sex-based harassment</w:t>
      </w:r>
      <w:r w:rsidR="00463B46" w:rsidRPr="003660A1">
        <w:t xml:space="preserve"> in the recipient’s education program or activity. </w:t>
      </w:r>
    </w:p>
    <w:p w14:paraId="4F724227" w14:textId="2098669C" w:rsidR="00436EB4" w:rsidRPr="003660A1" w:rsidRDefault="00992138" w:rsidP="00992138">
      <w:pPr>
        <w:pStyle w:val="Heading4"/>
        <w:rPr>
          <w:rFonts w:eastAsia="Calibri"/>
        </w:rPr>
      </w:pPr>
      <w:r>
        <w:rPr>
          <w:rFonts w:eastAsia="Calibri"/>
        </w:rPr>
        <w:t>c</w:t>
      </w:r>
      <w:r w:rsidR="002B0887" w:rsidRPr="003660A1">
        <w:rPr>
          <w:rFonts w:eastAsia="Calibri"/>
        </w:rPr>
        <w:t>.</w:t>
      </w:r>
      <w:r w:rsidR="002B0887" w:rsidRPr="003660A1">
        <w:rPr>
          <w:rFonts w:eastAsia="Calibri"/>
        </w:rPr>
        <w:tab/>
      </w:r>
      <w:r w:rsidR="00436EB4" w:rsidRPr="003660A1">
        <w:rPr>
          <w:rFonts w:eastAsia="Calibri"/>
          <w:b/>
        </w:rPr>
        <w:t xml:space="preserve">Sexual </w:t>
      </w:r>
      <w:r w:rsidR="00971965" w:rsidRPr="003660A1">
        <w:rPr>
          <w:rFonts w:eastAsia="Calibri"/>
          <w:b/>
        </w:rPr>
        <w:t>Violence</w:t>
      </w:r>
      <w:r w:rsidR="00436EB4" w:rsidRPr="003660A1">
        <w:rPr>
          <w:rFonts w:eastAsia="Calibri"/>
        </w:rPr>
        <w:t xml:space="preserve">. Sexual </w:t>
      </w:r>
      <w:r>
        <w:rPr>
          <w:rFonts w:eastAsia="Calibri"/>
        </w:rPr>
        <w:t>v</w:t>
      </w:r>
      <w:r w:rsidR="00971965" w:rsidRPr="003660A1">
        <w:rPr>
          <w:rFonts w:eastAsia="Calibri"/>
        </w:rPr>
        <w:t>iolence</w:t>
      </w:r>
      <w:r w:rsidR="00436EB4" w:rsidRPr="003660A1">
        <w:rPr>
          <w:rFonts w:eastAsia="Calibri"/>
        </w:rPr>
        <w:t xml:space="preserve"> includes the following conduct: </w:t>
      </w:r>
    </w:p>
    <w:p w14:paraId="6D60B585" w14:textId="4453AE0E" w:rsidR="00436EB4" w:rsidRPr="003660A1" w:rsidRDefault="00A94C3C" w:rsidP="00A94C3C">
      <w:pPr>
        <w:pStyle w:val="Heading5"/>
        <w:rPr>
          <w:rFonts w:eastAsia="Calibri"/>
        </w:rPr>
      </w:pPr>
      <w:r>
        <w:rPr>
          <w:rFonts w:eastAsia="Calibri"/>
          <w:bCs/>
        </w:rPr>
        <w:t>i.</w:t>
      </w:r>
      <w:r>
        <w:rPr>
          <w:rFonts w:eastAsia="Calibri"/>
          <w:bCs/>
        </w:rPr>
        <w:tab/>
      </w:r>
      <w:r w:rsidR="00436EB4" w:rsidRPr="003660A1">
        <w:rPr>
          <w:rFonts w:eastAsia="Calibri"/>
          <w:b/>
        </w:rPr>
        <w:t>Nonconsensual sexual intercourse</w:t>
      </w:r>
      <w:r w:rsidR="00436EB4" w:rsidRPr="003660A1">
        <w:rPr>
          <w:rFonts w:eastAsia="Calibri"/>
        </w:rPr>
        <w:t xml:space="preserve">. Any actual or attempted sexual intercourse (anal, oral, or vaginal), however slight, with any object or body part, by a person upon another person, that is without </w:t>
      </w:r>
      <w:r w:rsidR="00307E92">
        <w:rPr>
          <w:rFonts w:eastAsia="Calibri"/>
        </w:rPr>
        <w:t>c</w:t>
      </w:r>
      <w:r w:rsidR="00436EB4" w:rsidRPr="003660A1">
        <w:rPr>
          <w:rFonts w:eastAsia="Calibri"/>
        </w:rPr>
        <w:t>onsent and/or by force. Sexual intercourse includes anal or vaginal penetration by a penis, tongue, finger, or object, or oral copulation by mouth to genital contact or genital to mouth contact.</w:t>
      </w:r>
    </w:p>
    <w:p w14:paraId="3220A9FA" w14:textId="666EE0DF" w:rsidR="00436EB4" w:rsidRPr="00B252F5" w:rsidRDefault="00A94C3C" w:rsidP="00A94C3C">
      <w:pPr>
        <w:pStyle w:val="Heading5"/>
        <w:rPr>
          <w:rFonts w:eastAsia="Calibri"/>
        </w:rPr>
      </w:pPr>
      <w:r>
        <w:rPr>
          <w:rFonts w:eastAsia="Calibri"/>
          <w:bCs/>
        </w:rPr>
        <w:t>ii.</w:t>
      </w:r>
      <w:r>
        <w:rPr>
          <w:rFonts w:eastAsia="Calibri"/>
          <w:bCs/>
        </w:rPr>
        <w:tab/>
      </w:r>
      <w:r w:rsidR="00436EB4" w:rsidRPr="003660A1">
        <w:rPr>
          <w:rFonts w:eastAsia="Calibri"/>
          <w:b/>
        </w:rPr>
        <w:t xml:space="preserve">Nonconsensual </w:t>
      </w:r>
      <w:r w:rsidR="00436EB4" w:rsidRPr="00B252F5">
        <w:rPr>
          <w:rFonts w:eastAsia="Calibri"/>
          <w:b/>
        </w:rPr>
        <w:t>sexual contact</w:t>
      </w:r>
      <w:r w:rsidR="007D34CB" w:rsidRPr="00B252F5">
        <w:rPr>
          <w:rFonts w:eastAsia="Calibri"/>
          <w:b/>
        </w:rPr>
        <w:t xml:space="preserve"> (</w:t>
      </w:r>
      <w:r w:rsidR="00B252F5" w:rsidRPr="00B252F5">
        <w:rPr>
          <w:rFonts w:eastAsia="Calibri"/>
          <w:b/>
        </w:rPr>
        <w:t>f</w:t>
      </w:r>
      <w:r w:rsidR="007D34CB" w:rsidRPr="00B252F5">
        <w:rPr>
          <w:rFonts w:eastAsia="Calibri"/>
          <w:b/>
        </w:rPr>
        <w:t>ondling)</w:t>
      </w:r>
      <w:r w:rsidR="00436EB4" w:rsidRPr="00B252F5">
        <w:rPr>
          <w:rFonts w:eastAsia="Calibri"/>
        </w:rPr>
        <w:t xml:space="preserve">. Any actual or attempted sexual touching, however slight, with any body part or object, by a person upon another person that is without </w:t>
      </w:r>
      <w:r w:rsidR="00307E92">
        <w:rPr>
          <w:rFonts w:eastAsia="Calibri"/>
        </w:rPr>
        <w:t>c</w:t>
      </w:r>
      <w:r w:rsidR="00436EB4" w:rsidRPr="00B252F5">
        <w:rPr>
          <w:rFonts w:eastAsia="Calibri"/>
        </w:rPr>
        <w:t>onsent and/or by force. Sexual touching includes any bodily contact with the breasts, groin, mouth, or other bodily orifice of another individual, or any other bodily contact in a sexual manner.</w:t>
      </w:r>
    </w:p>
    <w:p w14:paraId="2A259CA3" w14:textId="1E7EEC46" w:rsidR="00436EB4" w:rsidRPr="00B252F5" w:rsidRDefault="00A94C3C" w:rsidP="00A94C3C">
      <w:pPr>
        <w:pStyle w:val="Heading5"/>
        <w:rPr>
          <w:rFonts w:eastAsia="Calibri"/>
        </w:rPr>
      </w:pPr>
      <w:r w:rsidRPr="00B252F5">
        <w:rPr>
          <w:rFonts w:eastAsia="Calibri"/>
          <w:bCs/>
        </w:rPr>
        <w:t>iii.</w:t>
      </w:r>
      <w:r w:rsidRPr="00B252F5">
        <w:rPr>
          <w:rFonts w:eastAsia="Calibri"/>
          <w:bCs/>
        </w:rPr>
        <w:tab/>
      </w:r>
      <w:r w:rsidR="00436EB4" w:rsidRPr="00B252F5">
        <w:rPr>
          <w:rFonts w:eastAsia="Calibri"/>
          <w:b/>
        </w:rPr>
        <w:t>Incest</w:t>
      </w:r>
      <w:r w:rsidR="00436EB4" w:rsidRPr="00B252F5">
        <w:rPr>
          <w:rFonts w:eastAsia="Calibri"/>
        </w:rPr>
        <w:t xml:space="preserve">. Sexual intercourse or sexual contact with a person known to be related to them, either legitimately or illegitimately, as an ancestor, descendant, brother, or sister of either wholly or half related. Descendant includes </w:t>
      </w:r>
      <w:r w:rsidR="00B252F5" w:rsidRPr="00B252F5">
        <w:rPr>
          <w:rFonts w:eastAsia="Calibri"/>
        </w:rPr>
        <w:t>stepchildren and</w:t>
      </w:r>
      <w:r w:rsidR="00436EB4" w:rsidRPr="00B252F5">
        <w:rPr>
          <w:rFonts w:eastAsia="Calibri"/>
        </w:rPr>
        <w:t xml:space="preserve"> adopted children under the age of 18.</w:t>
      </w:r>
    </w:p>
    <w:p w14:paraId="7FF6D142" w14:textId="063AFCDE" w:rsidR="00436EB4" w:rsidRPr="00B252F5" w:rsidRDefault="00A94C3C" w:rsidP="00A94C3C">
      <w:pPr>
        <w:pStyle w:val="Heading5"/>
        <w:rPr>
          <w:rFonts w:eastAsia="Calibri"/>
        </w:rPr>
      </w:pPr>
      <w:r w:rsidRPr="00B252F5">
        <w:rPr>
          <w:rFonts w:eastAsia="Calibri"/>
          <w:bCs/>
        </w:rPr>
        <w:t>Iv.</w:t>
      </w:r>
      <w:r w:rsidRPr="00B252F5">
        <w:rPr>
          <w:rFonts w:eastAsia="Calibri"/>
          <w:bCs/>
        </w:rPr>
        <w:tab/>
      </w:r>
      <w:r w:rsidR="00436EB4" w:rsidRPr="00B252F5">
        <w:rPr>
          <w:rFonts w:eastAsia="Calibri"/>
          <w:b/>
        </w:rPr>
        <w:t>Statutory rape</w:t>
      </w:r>
      <w:r w:rsidR="007D34CB" w:rsidRPr="00B252F5">
        <w:rPr>
          <w:rFonts w:eastAsia="Calibri"/>
          <w:b/>
        </w:rPr>
        <w:t xml:space="preserve"> (</w:t>
      </w:r>
      <w:r w:rsidR="00B252F5" w:rsidRPr="00B252F5">
        <w:rPr>
          <w:rFonts w:eastAsia="Calibri"/>
          <w:b/>
        </w:rPr>
        <w:t>r</w:t>
      </w:r>
      <w:r w:rsidR="007D34CB" w:rsidRPr="00B252F5">
        <w:rPr>
          <w:rFonts w:eastAsia="Calibri"/>
          <w:b/>
        </w:rPr>
        <w:t xml:space="preserve">ape of a child). </w:t>
      </w:r>
      <w:r w:rsidR="007D34CB" w:rsidRPr="00B252F5">
        <w:rPr>
          <w:rFonts w:eastAsia="Calibri"/>
        </w:rPr>
        <w:t>Non forcible sexual intercourse with a person who is under the statutory age of consent.</w:t>
      </w:r>
    </w:p>
    <w:p w14:paraId="3AC6CC16" w14:textId="2C3FA3E9" w:rsidR="00436EB4" w:rsidRPr="003660A1" w:rsidRDefault="00A94C3C" w:rsidP="00A94C3C">
      <w:pPr>
        <w:pStyle w:val="Heading5"/>
        <w:rPr>
          <w:rFonts w:eastAsia="Calibri"/>
        </w:rPr>
      </w:pPr>
      <w:r w:rsidRPr="00B252F5">
        <w:rPr>
          <w:rFonts w:eastAsia="Calibri"/>
          <w:bCs/>
        </w:rPr>
        <w:t>v.</w:t>
      </w:r>
      <w:r w:rsidRPr="00B252F5">
        <w:rPr>
          <w:rFonts w:eastAsia="Calibri"/>
          <w:bCs/>
        </w:rPr>
        <w:tab/>
      </w:r>
      <w:r w:rsidR="00436EB4" w:rsidRPr="00B252F5">
        <w:rPr>
          <w:rFonts w:eastAsia="Calibri"/>
          <w:b/>
        </w:rPr>
        <w:t>Domestic violence</w:t>
      </w:r>
      <w:r w:rsidR="00436EB4" w:rsidRPr="00B252F5">
        <w:rPr>
          <w:rFonts w:eastAsia="Calibri"/>
        </w:rPr>
        <w:t xml:space="preserve">. Physical violence, bodily injury, assault, the infliction of fear of imminent physical harm, sexual assault, </w:t>
      </w:r>
      <w:r w:rsidR="009C0CF1" w:rsidRPr="00B252F5">
        <w:rPr>
          <w:rFonts w:eastAsia="Calibri"/>
        </w:rPr>
        <w:t>coercive control, damage or destruction of personal property,</w:t>
      </w:r>
      <w:r w:rsidR="00CF7DBC">
        <w:rPr>
          <w:rFonts w:eastAsia="Calibri"/>
        </w:rPr>
        <w:t xml:space="preserve"> </w:t>
      </w:r>
      <w:r w:rsidR="00436EB4" w:rsidRPr="00B252F5">
        <w:rPr>
          <w:rFonts w:eastAsia="Calibri"/>
        </w:rPr>
        <w:t>stalking</w:t>
      </w:r>
      <w:r w:rsidR="009C0CF1" w:rsidRPr="00B252F5">
        <w:rPr>
          <w:rFonts w:eastAsia="Calibri"/>
        </w:rPr>
        <w:t xml:space="preserve">, or any other conduct prohibited under </w:t>
      </w:r>
      <w:hyperlink r:id="rId15" w:history="1">
        <w:r w:rsidR="009C0CF1" w:rsidRPr="00307E92">
          <w:rPr>
            <w:rStyle w:val="Hyperlink"/>
            <w:rFonts w:eastAsia="Calibri"/>
          </w:rPr>
          <w:t>RCW 10.99.020</w:t>
        </w:r>
      </w:hyperlink>
      <w:r w:rsidR="009C0CF1" w:rsidRPr="00B252F5">
        <w:rPr>
          <w:rFonts w:eastAsia="Calibri"/>
        </w:rPr>
        <w:t>,</w:t>
      </w:r>
      <w:r w:rsidR="00436EB4" w:rsidRPr="00B252F5">
        <w:rPr>
          <w:rFonts w:eastAsia="Calibri"/>
        </w:rPr>
        <w:t xml:space="preserve"> committed by a person with whom the victim shares a child in common, by a pe</w:t>
      </w:r>
      <w:r w:rsidR="00436EB4" w:rsidRPr="003660A1">
        <w:rPr>
          <w:rFonts w:eastAsia="Calibri"/>
        </w:rPr>
        <w:t xml:space="preserve">rson who is cohabitating with or has cohabitated with the victim as a spouse, by a person similarly situated to a spouse of the victim under the domestic or family violence laws of the </w:t>
      </w:r>
      <w:r w:rsidR="00B252F5">
        <w:rPr>
          <w:rFonts w:eastAsia="Calibri"/>
        </w:rPr>
        <w:t>s</w:t>
      </w:r>
      <w:r w:rsidR="00436EB4" w:rsidRPr="003660A1">
        <w:rPr>
          <w:rFonts w:eastAsia="Calibri"/>
        </w:rPr>
        <w:t xml:space="preserve">tate of Washington, or by any other person against an adult or youth victim who is protected from that person’s acts under the domestic or family violence laws of the </w:t>
      </w:r>
      <w:r w:rsidR="00B252F5">
        <w:rPr>
          <w:rFonts w:eastAsia="Calibri"/>
        </w:rPr>
        <w:t>s</w:t>
      </w:r>
      <w:r w:rsidR="00436EB4" w:rsidRPr="003660A1">
        <w:rPr>
          <w:rFonts w:eastAsia="Calibri"/>
        </w:rPr>
        <w:t>tate of Washington.</w:t>
      </w:r>
    </w:p>
    <w:p w14:paraId="77902C40" w14:textId="0F66E339" w:rsidR="00436EB4" w:rsidRPr="003660A1" w:rsidRDefault="00A94C3C" w:rsidP="00A94C3C">
      <w:pPr>
        <w:pStyle w:val="Heading5"/>
        <w:rPr>
          <w:rFonts w:eastAsia="Calibri"/>
        </w:rPr>
      </w:pPr>
      <w:r w:rsidRPr="00A94C3C">
        <w:rPr>
          <w:rFonts w:eastAsia="Calibri"/>
          <w:bCs/>
        </w:rPr>
        <w:t>vi.</w:t>
      </w:r>
      <w:r w:rsidRPr="00A94C3C">
        <w:rPr>
          <w:rFonts w:eastAsia="Calibri"/>
          <w:bCs/>
        </w:rPr>
        <w:tab/>
      </w:r>
      <w:r w:rsidR="00436EB4" w:rsidRPr="003660A1">
        <w:rPr>
          <w:rFonts w:eastAsia="Calibri"/>
          <w:b/>
        </w:rPr>
        <w:t>Dating violence.</w:t>
      </w:r>
      <w:r w:rsidR="00436EB4" w:rsidRPr="003660A1">
        <w:rPr>
          <w:rFonts w:eastAsia="Calibri"/>
        </w:rPr>
        <w:t xml:space="preserve"> Physical violence, bodily injury, assault, the infliction of fear of imminent physical harm, sexual assault, or stalking committed by a person (</w:t>
      </w:r>
      <w:r w:rsidR="00B252F5">
        <w:rPr>
          <w:rFonts w:eastAsia="Calibri"/>
        </w:rPr>
        <w:t>1</w:t>
      </w:r>
      <w:r w:rsidR="00436EB4" w:rsidRPr="003660A1">
        <w:rPr>
          <w:rFonts w:eastAsia="Calibri"/>
        </w:rPr>
        <w:t xml:space="preserve">) who is or has been in a social relationship of a romantic or intimate nature with </w:t>
      </w:r>
      <w:r w:rsidR="00436EB4" w:rsidRPr="003660A1">
        <w:rPr>
          <w:rFonts w:eastAsia="Calibri"/>
        </w:rPr>
        <w:lastRenderedPageBreak/>
        <w:t>the victim; and (</w:t>
      </w:r>
      <w:r w:rsidR="00B252F5">
        <w:rPr>
          <w:rFonts w:eastAsia="Calibri"/>
        </w:rPr>
        <w:t>2</w:t>
      </w:r>
      <w:r w:rsidR="00436EB4" w:rsidRPr="003660A1">
        <w:rPr>
          <w:rFonts w:eastAsia="Calibri"/>
        </w:rPr>
        <w:t>) where the existence of such a relationship shall be determined based on a consideration of the following factors:</w:t>
      </w:r>
    </w:p>
    <w:p w14:paraId="70FE7F4B" w14:textId="438F94CB" w:rsidR="00436EB4" w:rsidRPr="003660A1" w:rsidRDefault="00A94C3C" w:rsidP="00A94C3C">
      <w:pPr>
        <w:pStyle w:val="Heading6"/>
        <w:rPr>
          <w:rFonts w:eastAsia="Calibri"/>
        </w:rPr>
      </w:pPr>
      <w:r>
        <w:rPr>
          <w:rFonts w:eastAsia="Calibri"/>
        </w:rPr>
        <w:t>1).</w:t>
      </w:r>
      <w:r>
        <w:rPr>
          <w:rFonts w:eastAsia="Calibri"/>
        </w:rPr>
        <w:tab/>
      </w:r>
      <w:r w:rsidR="00436EB4" w:rsidRPr="003660A1">
        <w:rPr>
          <w:rFonts w:eastAsia="Calibri"/>
        </w:rPr>
        <w:t xml:space="preserve">The length of the relationship; </w:t>
      </w:r>
    </w:p>
    <w:p w14:paraId="6E665DC0" w14:textId="1580065D" w:rsidR="00436EB4" w:rsidRPr="003660A1" w:rsidRDefault="00A94C3C" w:rsidP="00A94C3C">
      <w:pPr>
        <w:pStyle w:val="Heading6"/>
        <w:rPr>
          <w:rFonts w:eastAsia="Calibri"/>
        </w:rPr>
      </w:pPr>
      <w:r>
        <w:rPr>
          <w:rFonts w:eastAsia="Calibri"/>
        </w:rPr>
        <w:t>2).</w:t>
      </w:r>
      <w:r>
        <w:rPr>
          <w:rFonts w:eastAsia="Calibri"/>
        </w:rPr>
        <w:tab/>
      </w:r>
      <w:r w:rsidR="00436EB4" w:rsidRPr="003660A1">
        <w:rPr>
          <w:rFonts w:eastAsia="Calibri"/>
        </w:rPr>
        <w:t>The type of relationship; and</w:t>
      </w:r>
    </w:p>
    <w:p w14:paraId="6827722D" w14:textId="2D7FE18A" w:rsidR="00436EB4" w:rsidRPr="003660A1" w:rsidRDefault="00A94C3C" w:rsidP="00A94C3C">
      <w:pPr>
        <w:pStyle w:val="Heading6"/>
        <w:rPr>
          <w:rFonts w:eastAsia="Calibri"/>
        </w:rPr>
      </w:pPr>
      <w:r>
        <w:rPr>
          <w:rFonts w:eastAsia="Calibri"/>
        </w:rPr>
        <w:t>3).</w:t>
      </w:r>
      <w:r>
        <w:rPr>
          <w:rFonts w:eastAsia="Calibri"/>
        </w:rPr>
        <w:tab/>
      </w:r>
      <w:r w:rsidR="00436EB4" w:rsidRPr="003660A1">
        <w:rPr>
          <w:rFonts w:eastAsia="Calibri"/>
        </w:rPr>
        <w:t>The frequency of interaction between the persons involved in the relationship.</w:t>
      </w:r>
    </w:p>
    <w:p w14:paraId="4C542A0C" w14:textId="0CFB7905" w:rsidR="00436EB4" w:rsidRPr="003660A1" w:rsidRDefault="00A94C3C" w:rsidP="00A94C3C">
      <w:pPr>
        <w:pStyle w:val="Heading4"/>
        <w:rPr>
          <w:rFonts w:eastAsia="Calibri"/>
        </w:rPr>
      </w:pPr>
      <w:r>
        <w:rPr>
          <w:rFonts w:eastAsia="Calibri"/>
        </w:rPr>
        <w:t>d</w:t>
      </w:r>
      <w:r w:rsidR="00971965" w:rsidRPr="003660A1">
        <w:rPr>
          <w:rFonts w:eastAsia="Calibri"/>
        </w:rPr>
        <w:t>.</w:t>
      </w:r>
      <w:r w:rsidR="00971965" w:rsidRPr="003660A1">
        <w:rPr>
          <w:rFonts w:eastAsia="Calibri"/>
        </w:rPr>
        <w:tab/>
      </w:r>
      <w:r w:rsidR="00436EB4" w:rsidRPr="003660A1">
        <w:rPr>
          <w:rFonts w:eastAsia="Calibri"/>
          <w:b/>
        </w:rPr>
        <w:t>Stalking</w:t>
      </w:r>
      <w:r w:rsidR="00436EB4" w:rsidRPr="003660A1">
        <w:rPr>
          <w:rFonts w:eastAsia="Calibri"/>
        </w:rPr>
        <w:t>. Engaging in a course of conduct directed at a specific person that would cause a reasonable person to (</w:t>
      </w:r>
      <w:r w:rsidR="00B252F5">
        <w:rPr>
          <w:rFonts w:eastAsia="Calibri"/>
        </w:rPr>
        <w:t>1</w:t>
      </w:r>
      <w:r w:rsidR="00436EB4" w:rsidRPr="003660A1">
        <w:rPr>
          <w:rFonts w:eastAsia="Calibri"/>
        </w:rPr>
        <w:t>) fear for their safety or the safety of others; or (</w:t>
      </w:r>
      <w:r w:rsidR="00B252F5">
        <w:rPr>
          <w:rFonts w:eastAsia="Calibri"/>
        </w:rPr>
        <w:t>2</w:t>
      </w:r>
      <w:r w:rsidR="00436EB4" w:rsidRPr="003660A1">
        <w:rPr>
          <w:rFonts w:eastAsia="Calibri"/>
        </w:rPr>
        <w:t>) suffer substantial emotional distress.</w:t>
      </w:r>
    </w:p>
    <w:p w14:paraId="159958F2" w14:textId="1C98D8B0" w:rsidR="003122BE" w:rsidRPr="003660A1" w:rsidRDefault="00A94C3C" w:rsidP="00A94C3C">
      <w:pPr>
        <w:pStyle w:val="Heading3"/>
        <w:rPr>
          <w:rFonts w:eastAsia="Calibri"/>
        </w:rPr>
      </w:pPr>
      <w:r>
        <w:rPr>
          <w:rFonts w:eastAsia="Calibri"/>
          <w:bCs/>
          <w:w w:val="105"/>
        </w:rPr>
        <w:t>3.</w:t>
      </w:r>
      <w:r w:rsidR="00463B46" w:rsidRPr="003660A1">
        <w:rPr>
          <w:rFonts w:eastAsia="Calibri"/>
          <w:b/>
          <w:w w:val="105"/>
        </w:rPr>
        <w:tab/>
      </w:r>
      <w:r w:rsidR="00607B0B">
        <w:rPr>
          <w:rFonts w:eastAsia="Calibri"/>
          <w:b/>
          <w:w w:val="105"/>
        </w:rPr>
        <w:t>R</w:t>
      </w:r>
      <w:r w:rsidR="00D25779">
        <w:rPr>
          <w:rFonts w:eastAsia="Calibri"/>
          <w:b/>
          <w:w w:val="105"/>
        </w:rPr>
        <w:t>etaliation</w:t>
      </w:r>
      <w:r w:rsidR="003122BE" w:rsidRPr="003660A1">
        <w:rPr>
          <w:rFonts w:eastAsia="Calibri"/>
          <w:i/>
          <w:w w:val="105"/>
        </w:rPr>
        <w:t xml:space="preserve"> </w:t>
      </w:r>
      <w:r w:rsidR="003122BE" w:rsidRPr="003660A1">
        <w:rPr>
          <w:rFonts w:eastAsia="Calibri"/>
          <w:w w:val="105"/>
        </w:rPr>
        <w:t xml:space="preserve">means intimidation, threats, coercion, or discrimination against any person by the </w:t>
      </w:r>
      <w:r w:rsidR="00B252F5">
        <w:rPr>
          <w:rFonts w:eastAsia="Calibri"/>
          <w:w w:val="105"/>
        </w:rPr>
        <w:t>college</w:t>
      </w:r>
      <w:r w:rsidR="003122BE" w:rsidRPr="003660A1">
        <w:rPr>
          <w:rFonts w:eastAsia="Calibri"/>
          <w:w w:val="105"/>
        </w:rPr>
        <w:t xml:space="preserve">, a student, or an employee or other person authorized by the </w:t>
      </w:r>
      <w:r w:rsidR="00B252F5">
        <w:rPr>
          <w:rFonts w:eastAsia="Calibri"/>
          <w:w w:val="105"/>
        </w:rPr>
        <w:t>college</w:t>
      </w:r>
      <w:r w:rsidR="003122BE" w:rsidRPr="003660A1">
        <w:rPr>
          <w:rFonts w:eastAsia="Calibri"/>
          <w:w w:val="105"/>
        </w:rPr>
        <w:t xml:space="preserve"> to provide aid, benefit, or service under the </w:t>
      </w:r>
      <w:r w:rsidR="00B252F5">
        <w:rPr>
          <w:rFonts w:eastAsia="Calibri"/>
          <w:w w:val="105"/>
        </w:rPr>
        <w:t>college</w:t>
      </w:r>
      <w:r w:rsidR="003122BE" w:rsidRPr="003660A1">
        <w:rPr>
          <w:rFonts w:eastAsia="Calibri"/>
          <w:w w:val="105"/>
        </w:rPr>
        <w:t>’s education program or activity, for the purpose of interfering with any right or privilege secured by Title IX, or because the person has reported information, m</w:t>
      </w:r>
      <w:r w:rsidR="003122BE" w:rsidRPr="00B252F5">
        <w:rPr>
          <w:rFonts w:eastAsia="Calibri"/>
          <w:w w:val="105"/>
        </w:rPr>
        <w:t xml:space="preserve">ade a </w:t>
      </w:r>
      <w:r w:rsidR="00B252F5" w:rsidRPr="00B252F5">
        <w:rPr>
          <w:rFonts w:eastAsia="Calibri"/>
          <w:w w:val="105"/>
        </w:rPr>
        <w:t>c</w:t>
      </w:r>
      <w:r w:rsidR="003122BE" w:rsidRPr="00B252F5">
        <w:rPr>
          <w:rFonts w:eastAsia="Calibri"/>
          <w:w w:val="105"/>
        </w:rPr>
        <w:t>omplaint, testified, assisted, or participated or refused to participate in any manner in a</w:t>
      </w:r>
      <w:r w:rsidR="00C344C6" w:rsidRPr="00B252F5">
        <w:rPr>
          <w:rFonts w:eastAsia="Calibri"/>
          <w:w w:val="105"/>
        </w:rPr>
        <w:t xml:space="preserve"> </w:t>
      </w:r>
      <w:r w:rsidR="00B252F5" w:rsidRPr="00B252F5">
        <w:rPr>
          <w:rFonts w:eastAsia="Calibri"/>
          <w:w w:val="105"/>
        </w:rPr>
        <w:t>s</w:t>
      </w:r>
      <w:r w:rsidR="00C344C6" w:rsidRPr="00B252F5">
        <w:rPr>
          <w:rFonts w:eastAsia="Calibri"/>
          <w:w w:val="105"/>
        </w:rPr>
        <w:t xml:space="preserve">ex </w:t>
      </w:r>
      <w:r w:rsidR="00B252F5" w:rsidRPr="00B252F5">
        <w:rPr>
          <w:rFonts w:eastAsia="Calibri"/>
          <w:w w:val="105"/>
        </w:rPr>
        <w:t>d</w:t>
      </w:r>
      <w:r w:rsidR="00C344C6" w:rsidRPr="00B252F5">
        <w:rPr>
          <w:rFonts w:eastAsia="Calibri"/>
          <w:w w:val="105"/>
        </w:rPr>
        <w:t>iscrimination</w:t>
      </w:r>
      <w:r w:rsidR="003122BE" w:rsidRPr="00B252F5">
        <w:rPr>
          <w:rFonts w:eastAsia="Calibri"/>
          <w:w w:val="105"/>
        </w:rPr>
        <w:t xml:space="preserve"> investigation, proceeding, or hearing, including in an informal resolution process, in these investigation procedures, and any disciplinary proceeding for </w:t>
      </w:r>
      <w:r w:rsidR="00625A65">
        <w:rPr>
          <w:rFonts w:eastAsia="Calibri"/>
          <w:w w:val="105"/>
        </w:rPr>
        <w:t>s</w:t>
      </w:r>
      <w:r w:rsidR="003122BE" w:rsidRPr="00B252F5">
        <w:rPr>
          <w:rFonts w:eastAsia="Calibri"/>
          <w:w w:val="105"/>
        </w:rPr>
        <w:t xml:space="preserve">ex </w:t>
      </w:r>
      <w:r w:rsidR="00625A65">
        <w:rPr>
          <w:rFonts w:eastAsia="Calibri"/>
          <w:w w:val="105"/>
        </w:rPr>
        <w:t>d</w:t>
      </w:r>
      <w:r w:rsidR="003122BE" w:rsidRPr="00B252F5">
        <w:rPr>
          <w:rFonts w:eastAsia="Calibri"/>
          <w:w w:val="105"/>
        </w:rPr>
        <w:t>iscrimination. Nothing in this definition pre</w:t>
      </w:r>
      <w:r w:rsidR="00C344C6" w:rsidRPr="00B252F5">
        <w:rPr>
          <w:rFonts w:eastAsia="Calibri"/>
          <w:w w:val="105"/>
        </w:rPr>
        <w:t>vents</w:t>
      </w:r>
      <w:r w:rsidR="003122BE" w:rsidRPr="00B252F5">
        <w:rPr>
          <w:rFonts w:eastAsia="Calibri"/>
          <w:w w:val="105"/>
        </w:rPr>
        <w:t xml:space="preserve"> the </w:t>
      </w:r>
      <w:r w:rsidR="00B252F5" w:rsidRPr="00B252F5">
        <w:rPr>
          <w:rFonts w:eastAsia="Calibri"/>
          <w:w w:val="105"/>
        </w:rPr>
        <w:t>college</w:t>
      </w:r>
      <w:r w:rsidR="003122BE" w:rsidRPr="00B252F5">
        <w:rPr>
          <w:rFonts w:eastAsia="Calibri"/>
          <w:w w:val="105"/>
        </w:rPr>
        <w:t xml:space="preserve"> from requiring an employee to provide aid, benefit,</w:t>
      </w:r>
      <w:r w:rsidR="003122BE" w:rsidRPr="003660A1">
        <w:rPr>
          <w:rFonts w:eastAsia="Calibri"/>
          <w:w w:val="105"/>
        </w:rPr>
        <w:t xml:space="preserve"> or service under the </w:t>
      </w:r>
      <w:r w:rsidR="00B252F5">
        <w:rPr>
          <w:rFonts w:eastAsia="Calibri"/>
          <w:w w:val="105"/>
        </w:rPr>
        <w:t>college</w:t>
      </w:r>
      <w:r w:rsidR="003122BE" w:rsidRPr="003660A1">
        <w:rPr>
          <w:rFonts w:eastAsia="Calibri"/>
          <w:w w:val="105"/>
        </w:rPr>
        <w:t>’s education program or activity to participate as a witness in, or otherwise assist with, an investigation, proceeding, or hearing.</w:t>
      </w:r>
    </w:p>
    <w:p w14:paraId="49381E01" w14:textId="25409F84" w:rsidR="009B3925" w:rsidRPr="003660A1" w:rsidRDefault="00A94C3C" w:rsidP="00A94C3C">
      <w:pPr>
        <w:pStyle w:val="Heading2"/>
      </w:pPr>
      <w:bookmarkStart w:id="0" w:name="a_30_A"/>
      <w:bookmarkEnd w:id="0"/>
      <w:r>
        <w:t>C.</w:t>
      </w:r>
      <w:r>
        <w:tab/>
      </w:r>
      <w:r w:rsidRPr="003660A1">
        <w:t>JURISDICTION &amp; DISMISSAL OF COMPLAINTS</w:t>
      </w:r>
    </w:p>
    <w:p w14:paraId="08E3DF3D" w14:textId="28CD67AA" w:rsidR="009B3925" w:rsidRPr="003660A1" w:rsidRDefault="00A94C3C" w:rsidP="00A94C3C">
      <w:pPr>
        <w:pStyle w:val="Heading3"/>
      </w:pPr>
      <w:r>
        <w:t>1.</w:t>
      </w:r>
      <w:r>
        <w:tab/>
      </w:r>
      <w:r w:rsidR="009B3925" w:rsidRPr="003660A1">
        <w:t xml:space="preserve">This </w:t>
      </w:r>
      <w:r w:rsidR="00532486" w:rsidRPr="003660A1">
        <w:t>disciplinary</w:t>
      </w:r>
      <w:r w:rsidR="009B3925" w:rsidRPr="003660A1">
        <w:t xml:space="preserve"> procedure applies only if the alleged misconduct:</w:t>
      </w:r>
    </w:p>
    <w:p w14:paraId="64CC1FDC" w14:textId="083E9466" w:rsidR="00FC31DE" w:rsidRPr="003660A1" w:rsidRDefault="00A94C3C" w:rsidP="00A94C3C">
      <w:pPr>
        <w:pStyle w:val="Heading4"/>
      </w:pPr>
      <w:r>
        <w:t>a.</w:t>
      </w:r>
      <w:r>
        <w:tab/>
      </w:r>
      <w:r w:rsidR="00FC31DE" w:rsidRPr="003660A1">
        <w:t xml:space="preserve">Meets the definition of </w:t>
      </w:r>
      <w:r w:rsidR="00625A65">
        <w:t>s</w:t>
      </w:r>
      <w:r w:rsidR="00FC31DE" w:rsidRPr="003660A1">
        <w:t xml:space="preserve">ex </w:t>
      </w:r>
      <w:r w:rsidR="00625A65">
        <w:t>d</w:t>
      </w:r>
      <w:r w:rsidR="00FC31DE" w:rsidRPr="003660A1">
        <w:t xml:space="preserve">iscrimination, </w:t>
      </w:r>
      <w:r w:rsidR="00625A65">
        <w:t>sex-based harassment</w:t>
      </w:r>
      <w:r w:rsidR="00FC31DE" w:rsidRPr="003660A1">
        <w:t xml:space="preserve">, or </w:t>
      </w:r>
      <w:r w:rsidR="00625A65">
        <w:t>r</w:t>
      </w:r>
      <w:r w:rsidR="00FC31DE" w:rsidRPr="003660A1">
        <w:t>etaliation as defined in th</w:t>
      </w:r>
      <w:r w:rsidR="00D31C80" w:rsidRPr="003660A1">
        <w:t>is</w:t>
      </w:r>
      <w:r w:rsidR="00FC31DE" w:rsidRPr="003660A1">
        <w:t xml:space="preserve"> disciplinary procedure</w:t>
      </w:r>
      <w:r w:rsidR="003B19E4" w:rsidRPr="003660A1">
        <w:t xml:space="preserve">, including causing more than </w:t>
      </w:r>
      <w:r w:rsidR="003B19E4" w:rsidRPr="003660A1">
        <w:rPr>
          <w:i/>
        </w:rPr>
        <w:t>de minimis</w:t>
      </w:r>
      <w:r w:rsidR="003B19E4" w:rsidRPr="003660A1">
        <w:t xml:space="preserve"> harm to the </w:t>
      </w:r>
      <w:r w:rsidR="00625A65">
        <w:t>complainant</w:t>
      </w:r>
      <w:r w:rsidR="003B19E4" w:rsidRPr="003660A1">
        <w:t>;</w:t>
      </w:r>
    </w:p>
    <w:p w14:paraId="28F7D697" w14:textId="31C40DFB" w:rsidR="009B3925" w:rsidRPr="003660A1" w:rsidRDefault="00A94C3C" w:rsidP="00A94C3C">
      <w:pPr>
        <w:pStyle w:val="Heading4"/>
      </w:pPr>
      <w:r>
        <w:t>b.</w:t>
      </w:r>
      <w:r>
        <w:tab/>
      </w:r>
      <w:r w:rsidR="009B3925" w:rsidRPr="003660A1">
        <w:t xml:space="preserve">Occurred </w:t>
      </w:r>
      <w:r w:rsidR="00D31C80" w:rsidRPr="003660A1">
        <w:t xml:space="preserve">in </w:t>
      </w:r>
      <w:r w:rsidR="009B3925" w:rsidRPr="003660A1">
        <w:t>the United States</w:t>
      </w:r>
      <w:r w:rsidR="00D31C80" w:rsidRPr="003660A1">
        <w:t xml:space="preserve"> or interfered with the </w:t>
      </w:r>
      <w:r w:rsidR="00625A65">
        <w:t>complainant</w:t>
      </w:r>
      <w:r w:rsidR="00D31C80" w:rsidRPr="003660A1">
        <w:t xml:space="preserve">’s ability to access or participate in the </w:t>
      </w:r>
      <w:r w:rsidR="00B252F5">
        <w:t>college</w:t>
      </w:r>
      <w:r w:rsidR="00D31C80" w:rsidRPr="003660A1">
        <w:t>’s educational programs or activities in the United States</w:t>
      </w:r>
      <w:r w:rsidR="00FE7EE9" w:rsidRPr="003660A1">
        <w:t>;</w:t>
      </w:r>
      <w:r w:rsidR="003B19E4" w:rsidRPr="003660A1">
        <w:t xml:space="preserve"> and</w:t>
      </w:r>
    </w:p>
    <w:p w14:paraId="5A51F413" w14:textId="79BD1414" w:rsidR="00D31C80" w:rsidRPr="003660A1" w:rsidRDefault="00A94C3C" w:rsidP="00A94C3C">
      <w:pPr>
        <w:pStyle w:val="Heading4"/>
      </w:pPr>
      <w:r>
        <w:t>c.</w:t>
      </w:r>
      <w:r>
        <w:tab/>
      </w:r>
      <w:r w:rsidR="009B3925" w:rsidRPr="003660A1">
        <w:t xml:space="preserve">Occurred during a </w:t>
      </w:r>
      <w:r>
        <w:t>c</w:t>
      </w:r>
      <w:r w:rsidR="00532486" w:rsidRPr="003660A1">
        <w:t>ollege</w:t>
      </w:r>
      <w:r w:rsidR="009B3925" w:rsidRPr="003660A1">
        <w:t xml:space="preserve"> educational program or </w:t>
      </w:r>
      <w:r w:rsidRPr="003660A1">
        <w:t>activity or</w:t>
      </w:r>
      <w:r w:rsidR="00FC31DE" w:rsidRPr="003660A1">
        <w:t xml:space="preserve"> </w:t>
      </w:r>
      <w:r w:rsidR="00D31C80" w:rsidRPr="003660A1">
        <w:t xml:space="preserve">interferes with the </w:t>
      </w:r>
      <w:r w:rsidR="00625A65">
        <w:t>complainant</w:t>
      </w:r>
      <w:r w:rsidR="00D31C80" w:rsidRPr="003660A1">
        <w:t xml:space="preserve">’s ability to access or participate in the </w:t>
      </w:r>
      <w:r w:rsidR="00B252F5">
        <w:t>college</w:t>
      </w:r>
      <w:r w:rsidR="00D31C80" w:rsidRPr="003660A1">
        <w:t>’s educational programs or activities</w:t>
      </w:r>
      <w:r w:rsidR="003B19E4" w:rsidRPr="003660A1">
        <w:t>.</w:t>
      </w:r>
    </w:p>
    <w:p w14:paraId="7117F94B" w14:textId="18E88A00" w:rsidR="003B19E4" w:rsidRPr="00CE281E" w:rsidRDefault="003B19E4" w:rsidP="00A94C3C">
      <w:pPr>
        <w:pStyle w:val="BodyText05"/>
      </w:pPr>
      <w:r w:rsidRPr="003660A1">
        <w:t xml:space="preserve">For purposes of this disciplinary procedure, the </w:t>
      </w:r>
      <w:r w:rsidR="00B252F5">
        <w:t>college</w:t>
      </w:r>
      <w:r w:rsidRPr="003660A1">
        <w:t xml:space="preserve">’s “educational programs or </w:t>
      </w:r>
      <w:r w:rsidRPr="00CE281E">
        <w:t xml:space="preserve">activities” means all operations of the </w:t>
      </w:r>
      <w:r w:rsidR="00B252F5" w:rsidRPr="00CE281E">
        <w:t>college</w:t>
      </w:r>
      <w:r w:rsidRPr="00CE281E">
        <w:t>.</w:t>
      </w:r>
    </w:p>
    <w:p w14:paraId="520DC0FB" w14:textId="5E93A62C" w:rsidR="003E6819" w:rsidRPr="00CE281E" w:rsidRDefault="00A94C3C" w:rsidP="00A94C3C">
      <w:pPr>
        <w:pStyle w:val="Heading3"/>
      </w:pPr>
      <w:r w:rsidRPr="00CE281E">
        <w:t>2.</w:t>
      </w:r>
      <w:r w:rsidR="008C71DA" w:rsidRPr="00CE281E">
        <w:tab/>
      </w:r>
      <w:r w:rsidR="007D4685" w:rsidRPr="00CE281E">
        <w:t>T</w:t>
      </w:r>
      <w:r w:rsidR="003E6819" w:rsidRPr="00CE281E">
        <w:t xml:space="preserve">he </w:t>
      </w:r>
      <w:r w:rsidR="00307E92" w:rsidRPr="00CE281E">
        <w:t>executive director of human resources or designee</w:t>
      </w:r>
      <w:r w:rsidR="003E6819" w:rsidRPr="00CE281E">
        <w:t xml:space="preserve"> </w:t>
      </w:r>
      <w:r w:rsidR="008C71DA" w:rsidRPr="00CE281E">
        <w:t>after reviewing the investigation report</w:t>
      </w:r>
      <w:r w:rsidR="007D4685" w:rsidRPr="00CE281E">
        <w:t xml:space="preserve"> or the </w:t>
      </w:r>
      <w:r w:rsidR="00307E92" w:rsidRPr="00CE281E">
        <w:t>supervisor</w:t>
      </w:r>
      <w:r w:rsidR="007D4685" w:rsidRPr="00CE281E">
        <w:t xml:space="preserve"> after receiving the </w:t>
      </w:r>
      <w:r w:rsidR="00CF7DBC" w:rsidRPr="00CE281E">
        <w:t>n</w:t>
      </w:r>
      <w:r w:rsidR="007D4685" w:rsidRPr="00CE281E">
        <w:t xml:space="preserve">otice of </w:t>
      </w:r>
      <w:r w:rsidR="00CF7DBC" w:rsidRPr="00CE281E">
        <w:t>h</w:t>
      </w:r>
      <w:r w:rsidR="007D4685" w:rsidRPr="00CE281E">
        <w:t xml:space="preserve">earing </w:t>
      </w:r>
      <w:r w:rsidR="003E6819" w:rsidRPr="00CE281E">
        <w:t>determines the facts</w:t>
      </w:r>
      <w:r w:rsidR="007D4685" w:rsidRPr="00CE281E">
        <w:t xml:space="preserve"> alleged, even if proven, </w:t>
      </w:r>
      <w:r w:rsidR="003E6819" w:rsidRPr="00CE281E">
        <w:t xml:space="preserve">are not sufficient to support jurisdiction, </w:t>
      </w:r>
      <w:r w:rsidR="007D4685" w:rsidRPr="00CE281E">
        <w:t>must</w:t>
      </w:r>
      <w:r w:rsidR="003E6819" w:rsidRPr="00CE281E">
        <w:t xml:space="preserve"> issue a notice of dismissal in whole or part to both parties </w:t>
      </w:r>
      <w:r w:rsidR="00411A81" w:rsidRPr="00CE281E">
        <w:t xml:space="preserve">and the Title IX coordinator </w:t>
      </w:r>
      <w:r w:rsidR="003E6819" w:rsidRPr="00CE281E">
        <w:t>explaining why some or all of the claims have been dismissed.</w:t>
      </w:r>
    </w:p>
    <w:p w14:paraId="40EFC031" w14:textId="2C6D2912" w:rsidR="001511F2" w:rsidRPr="00CE281E" w:rsidRDefault="00A94C3C" w:rsidP="00A94C3C">
      <w:pPr>
        <w:pStyle w:val="Heading3"/>
      </w:pPr>
      <w:r w:rsidRPr="00CE281E">
        <w:t>3</w:t>
      </w:r>
      <w:r w:rsidR="008C71DA" w:rsidRPr="00CE281E">
        <w:t>.</w:t>
      </w:r>
      <w:r w:rsidR="008C71DA" w:rsidRPr="00CE281E">
        <w:tab/>
      </w:r>
      <w:r w:rsidR="007D4685" w:rsidRPr="00CE281E">
        <w:t xml:space="preserve">The </w:t>
      </w:r>
      <w:r w:rsidR="00307E92" w:rsidRPr="00CE281E">
        <w:t>executive director of human resources or designee</w:t>
      </w:r>
      <w:r w:rsidR="007D4685" w:rsidRPr="00CE281E">
        <w:t xml:space="preserve"> after reviewing the investigation report or the </w:t>
      </w:r>
      <w:r w:rsidR="00307E92" w:rsidRPr="00CE281E">
        <w:t>supervisor</w:t>
      </w:r>
      <w:r w:rsidR="007D4685" w:rsidRPr="00CE281E">
        <w:t xml:space="preserve"> after receiving the </w:t>
      </w:r>
      <w:r w:rsidR="00CF7DBC" w:rsidRPr="00CE281E">
        <w:t>n</w:t>
      </w:r>
      <w:r w:rsidR="007D4685" w:rsidRPr="00CE281E">
        <w:t xml:space="preserve">otice of </w:t>
      </w:r>
      <w:r w:rsidR="00CF7DBC" w:rsidRPr="00CE281E">
        <w:t>h</w:t>
      </w:r>
      <w:r w:rsidR="007D4685" w:rsidRPr="00CE281E">
        <w:t>earing may, but is not required to, dismiss the case</w:t>
      </w:r>
      <w:r w:rsidR="001511F2" w:rsidRPr="00CE281E">
        <w:t xml:space="preserve"> if:</w:t>
      </w:r>
    </w:p>
    <w:p w14:paraId="7C25F03E" w14:textId="6FE9FC59" w:rsidR="001511F2" w:rsidRPr="003660A1" w:rsidRDefault="00A94C3C" w:rsidP="00A94C3C">
      <w:pPr>
        <w:pStyle w:val="Heading4"/>
      </w:pPr>
      <w:r>
        <w:t>a</w:t>
      </w:r>
      <w:r w:rsidR="001511F2" w:rsidRPr="003660A1">
        <w:t>.</w:t>
      </w:r>
      <w:r w:rsidR="001511F2" w:rsidRPr="003660A1">
        <w:tab/>
        <w:t xml:space="preserve">The </w:t>
      </w:r>
      <w:r w:rsidR="00CF7DBC">
        <w:t>r</w:t>
      </w:r>
      <w:r w:rsidR="001511F2" w:rsidRPr="003660A1">
        <w:t xml:space="preserve">espondent is no longer employed by the </w:t>
      </w:r>
      <w:r w:rsidR="00B252F5">
        <w:t>college</w:t>
      </w:r>
      <w:r w:rsidR="00AA0543" w:rsidRPr="003660A1">
        <w:t xml:space="preserve">. </w:t>
      </w:r>
      <w:r w:rsidR="00CA0327" w:rsidRPr="003660A1">
        <w:t xml:space="preserve">The </w:t>
      </w:r>
      <w:r w:rsidR="00B252F5">
        <w:t>college</w:t>
      </w:r>
      <w:r w:rsidR="00CA0327" w:rsidRPr="003660A1">
        <w:t>’s d</w:t>
      </w:r>
      <w:r w:rsidR="00AA0543" w:rsidRPr="003660A1">
        <w:t xml:space="preserve">iscretion to dismiss a </w:t>
      </w:r>
      <w:r w:rsidR="00625A65">
        <w:t>sex-based harassment</w:t>
      </w:r>
      <w:r w:rsidR="00AA0543" w:rsidRPr="003660A1">
        <w:t xml:space="preserve"> </w:t>
      </w:r>
      <w:r w:rsidR="00CF7DBC">
        <w:t>c</w:t>
      </w:r>
      <w:r w:rsidR="00AA0543" w:rsidRPr="003660A1">
        <w:t xml:space="preserve">omplaint lodged against a former employee may be limited by </w:t>
      </w:r>
      <w:hyperlink r:id="rId16" w:history="1">
        <w:r w:rsidR="00AA0543" w:rsidRPr="00776503">
          <w:rPr>
            <w:rStyle w:val="Hyperlink"/>
          </w:rPr>
          <w:t>RCW 28B.112.070</w:t>
        </w:r>
      </w:hyperlink>
      <w:r w:rsidR="00AA0543" w:rsidRPr="003660A1">
        <w:t xml:space="preserve">, which requires the </w:t>
      </w:r>
      <w:r w:rsidR="00B252F5">
        <w:t>college</w:t>
      </w:r>
      <w:r w:rsidR="00AA0543" w:rsidRPr="003660A1">
        <w:t xml:space="preserve"> to complete investigations into allegations of sexual misconduct by employees directed at students unless the student requests otherwise</w:t>
      </w:r>
      <w:r w:rsidR="001511F2" w:rsidRPr="003660A1">
        <w:t>;</w:t>
      </w:r>
      <w:r w:rsidR="008A054B" w:rsidRPr="003660A1">
        <w:t xml:space="preserve"> or</w:t>
      </w:r>
    </w:p>
    <w:p w14:paraId="071DA729" w14:textId="49F2D293" w:rsidR="003E6819" w:rsidRPr="003660A1" w:rsidRDefault="00A94C3C" w:rsidP="00A94C3C">
      <w:pPr>
        <w:pStyle w:val="Heading4"/>
      </w:pPr>
      <w:r>
        <w:lastRenderedPageBreak/>
        <w:t>b</w:t>
      </w:r>
      <w:r w:rsidR="001511F2" w:rsidRPr="003660A1">
        <w:t>.</w:t>
      </w:r>
      <w:r w:rsidR="001511F2" w:rsidRPr="003660A1">
        <w:tab/>
        <w:t xml:space="preserve">The </w:t>
      </w:r>
      <w:r w:rsidR="00625A65">
        <w:t>complainant</w:t>
      </w:r>
      <w:r w:rsidR="001511F2" w:rsidRPr="003660A1">
        <w:t xml:space="preserve"> has voluntarily withdrawn the </w:t>
      </w:r>
      <w:r w:rsidR="00CF7DBC">
        <w:t>c</w:t>
      </w:r>
      <w:r w:rsidR="001511F2" w:rsidRPr="003660A1">
        <w:t xml:space="preserve">omplaint and the Title IX </w:t>
      </w:r>
      <w:r w:rsidR="00CF7DBC">
        <w:t>c</w:t>
      </w:r>
      <w:r w:rsidR="001511F2" w:rsidRPr="003660A1">
        <w:t>oordinator has declined to init</w:t>
      </w:r>
      <w:r w:rsidR="00D35694" w:rsidRPr="003660A1">
        <w:t>i</w:t>
      </w:r>
      <w:r w:rsidR="001511F2" w:rsidRPr="003660A1">
        <w:t xml:space="preserve">ate a complaint, and the </w:t>
      </w:r>
      <w:r w:rsidR="00B252F5">
        <w:t>college</w:t>
      </w:r>
      <w:r w:rsidR="001511F2" w:rsidRPr="003660A1">
        <w:t xml:space="preserve"> determines that any remaining conduct outside the withdrawn allegations would not constitute </w:t>
      </w:r>
      <w:r w:rsidR="00CF7DBC">
        <w:t>s</w:t>
      </w:r>
      <w:r w:rsidR="001511F2" w:rsidRPr="003660A1">
        <w:t xml:space="preserve">ex </w:t>
      </w:r>
      <w:r w:rsidR="00CF7DBC">
        <w:t>d</w:t>
      </w:r>
      <w:r w:rsidR="001511F2" w:rsidRPr="003660A1">
        <w:t>iscrimination, ev</w:t>
      </w:r>
      <w:r w:rsidR="008A054B" w:rsidRPr="003660A1">
        <w:t>en if proven.</w:t>
      </w:r>
      <w:r w:rsidR="00CF7DBC">
        <w:t xml:space="preserve"> </w:t>
      </w:r>
      <w:r w:rsidR="008A054B" w:rsidRPr="003660A1">
        <w:t xml:space="preserve">If the </w:t>
      </w:r>
      <w:r w:rsidR="00625A65">
        <w:t>complainant</w:t>
      </w:r>
      <w:r w:rsidR="008A054B" w:rsidRPr="003660A1">
        <w:t xml:space="preserve"> is a student and the case involves allegations of </w:t>
      </w:r>
      <w:r w:rsidR="00625A65">
        <w:t>sex-based harassment</w:t>
      </w:r>
      <w:r w:rsidR="001511F2" w:rsidRPr="003660A1">
        <w:t xml:space="preserve">, the </w:t>
      </w:r>
      <w:r w:rsidR="008A054B" w:rsidRPr="003660A1">
        <w:t xml:space="preserve">withdrawal must be presented by the </w:t>
      </w:r>
      <w:r w:rsidR="00625A65">
        <w:t>complainant</w:t>
      </w:r>
      <w:r w:rsidR="001511F2" w:rsidRPr="003660A1">
        <w:t xml:space="preserve"> </w:t>
      </w:r>
      <w:r w:rsidR="008A054B" w:rsidRPr="003660A1">
        <w:t xml:space="preserve">in writing </w:t>
      </w:r>
      <w:r w:rsidR="001511F2" w:rsidRPr="003660A1">
        <w:t xml:space="preserve">before the </w:t>
      </w:r>
      <w:r w:rsidR="00B252F5">
        <w:t>college</w:t>
      </w:r>
      <w:r w:rsidR="001511F2" w:rsidRPr="003660A1">
        <w:t xml:space="preserve"> will act.</w:t>
      </w:r>
    </w:p>
    <w:p w14:paraId="5397F4D8" w14:textId="4E89D32C" w:rsidR="009B3925" w:rsidRPr="003660A1" w:rsidRDefault="00A94C3C" w:rsidP="00A94C3C">
      <w:pPr>
        <w:pStyle w:val="Heading3"/>
      </w:pPr>
      <w:r>
        <w:t>4</w:t>
      </w:r>
      <w:r w:rsidR="008C71DA" w:rsidRPr="003660A1">
        <w:t>.</w:t>
      </w:r>
      <w:r w:rsidR="008C71DA" w:rsidRPr="003660A1">
        <w:tab/>
      </w:r>
      <w:r w:rsidR="009B3925" w:rsidRPr="003660A1">
        <w:t xml:space="preserve">Dismissal does not prohibit the </w:t>
      </w:r>
      <w:r w:rsidR="00B252F5">
        <w:t>college</w:t>
      </w:r>
      <w:r w:rsidR="009B3925" w:rsidRPr="003660A1">
        <w:t xml:space="preserve"> from pursuing disciplinary action </w:t>
      </w:r>
      <w:r w:rsidR="001C56C7" w:rsidRPr="003660A1">
        <w:t xml:space="preserve">against a </w:t>
      </w:r>
      <w:r w:rsidR="00CF7DBC">
        <w:t>respondent</w:t>
      </w:r>
      <w:r w:rsidR="001C56C7" w:rsidRPr="003660A1">
        <w:t xml:space="preserve"> </w:t>
      </w:r>
      <w:r w:rsidR="009B3925" w:rsidRPr="003660A1">
        <w:t xml:space="preserve">based on allegations that the </w:t>
      </w:r>
      <w:r w:rsidR="00CF7DBC">
        <w:t>respondent</w:t>
      </w:r>
      <w:r w:rsidR="009B3925" w:rsidRPr="003660A1">
        <w:t xml:space="preserve"> </w:t>
      </w:r>
      <w:r w:rsidR="001C56C7" w:rsidRPr="003660A1">
        <w:t xml:space="preserve">engaged in other misconduct prohibited by federal or state law, employment contracts or handbooks, or other </w:t>
      </w:r>
      <w:r w:rsidR="00B252F5">
        <w:t>college</w:t>
      </w:r>
      <w:r w:rsidR="001C56C7" w:rsidRPr="003660A1">
        <w:t xml:space="preserve"> policies.</w:t>
      </w:r>
      <w:r w:rsidR="003E6819" w:rsidRPr="003660A1">
        <w:rPr>
          <w:rFonts w:cstheme="minorBidi"/>
          <w:szCs w:val="22"/>
        </w:rPr>
        <w:t xml:space="preserve"> </w:t>
      </w:r>
    </w:p>
    <w:p w14:paraId="08834389" w14:textId="56B8385C" w:rsidR="003E6819" w:rsidRPr="003660A1" w:rsidRDefault="00A94C3C" w:rsidP="00A94C3C">
      <w:pPr>
        <w:pStyle w:val="Heading3"/>
      </w:pPr>
      <w:r>
        <w:t>5</w:t>
      </w:r>
      <w:r w:rsidR="008C71DA" w:rsidRPr="003660A1">
        <w:t>.</w:t>
      </w:r>
      <w:r w:rsidR="008C71DA" w:rsidRPr="003660A1">
        <w:tab/>
      </w:r>
      <w:r w:rsidR="003E6819" w:rsidRPr="003660A1">
        <w:t xml:space="preserve">Both the </w:t>
      </w:r>
      <w:r w:rsidR="00625A65">
        <w:t>complainant</w:t>
      </w:r>
      <w:r w:rsidR="003E6819" w:rsidRPr="003660A1">
        <w:t xml:space="preserve"> and the </w:t>
      </w:r>
      <w:r w:rsidR="00CF7DBC">
        <w:t>respondent</w:t>
      </w:r>
      <w:r w:rsidR="003E6819" w:rsidRPr="003660A1">
        <w:t xml:space="preserve"> may appeal the dismissal of a </w:t>
      </w:r>
      <w:r w:rsidR="00CF7DBC">
        <w:t>complaint</w:t>
      </w:r>
      <w:r w:rsidR="003E6819" w:rsidRPr="003660A1">
        <w:t xml:space="preserve"> </w:t>
      </w:r>
      <w:r w:rsidR="00CE281E" w:rsidRPr="003660A1">
        <w:t>pursuant to</w:t>
      </w:r>
      <w:r w:rsidR="003E6819" w:rsidRPr="003660A1">
        <w:t xml:space="preserve"> the appeal process in Section </w:t>
      </w:r>
      <w:r w:rsidR="00CF7DBC">
        <w:t>I</w:t>
      </w:r>
      <w:r w:rsidR="003E6819" w:rsidRPr="003660A1">
        <w:t xml:space="preserve"> of this procedure.</w:t>
      </w:r>
    </w:p>
    <w:p w14:paraId="775F3CB7" w14:textId="207597C3" w:rsidR="003E6819" w:rsidRPr="003660A1" w:rsidRDefault="00A94C3C" w:rsidP="00A94C3C">
      <w:pPr>
        <w:pStyle w:val="Heading3"/>
      </w:pPr>
      <w:r>
        <w:t>6</w:t>
      </w:r>
      <w:r w:rsidR="008C71DA" w:rsidRPr="003660A1">
        <w:t>.</w:t>
      </w:r>
      <w:r w:rsidR="008C71DA" w:rsidRPr="003660A1">
        <w:tab/>
        <w:t xml:space="preserve">The notice of dismissal must </w:t>
      </w:r>
      <w:r w:rsidR="00411A81" w:rsidRPr="003660A1">
        <w:t xml:space="preserve">be served on </w:t>
      </w:r>
      <w:r w:rsidR="00167423" w:rsidRPr="003660A1">
        <w:t xml:space="preserve">all </w:t>
      </w:r>
      <w:r w:rsidR="00411A81" w:rsidRPr="003660A1">
        <w:t xml:space="preserve">parties and the </w:t>
      </w:r>
      <w:r w:rsidR="00CF7DBC">
        <w:t>Title IX coordinator</w:t>
      </w:r>
      <w:r w:rsidR="00411A81" w:rsidRPr="003660A1">
        <w:t xml:space="preserve"> and </w:t>
      </w:r>
      <w:r w:rsidR="008C71DA" w:rsidRPr="003660A1">
        <w:t>contain an explanation of:</w:t>
      </w:r>
    </w:p>
    <w:p w14:paraId="77F01DE3" w14:textId="5C2E5551" w:rsidR="003E6819" w:rsidRPr="003660A1" w:rsidRDefault="00A94C3C" w:rsidP="00A94C3C">
      <w:pPr>
        <w:pStyle w:val="Heading4"/>
      </w:pPr>
      <w:r>
        <w:t>a.</w:t>
      </w:r>
      <w:r>
        <w:tab/>
      </w:r>
      <w:r w:rsidR="003E6819" w:rsidRPr="003660A1">
        <w:t>Why dismissal was necessary or desirable;</w:t>
      </w:r>
      <w:r w:rsidR="00CF7DBC">
        <w:t xml:space="preserve"> </w:t>
      </w:r>
    </w:p>
    <w:p w14:paraId="51B775FD" w14:textId="19BD1B21" w:rsidR="003E6819" w:rsidRPr="003660A1" w:rsidRDefault="00A94C3C" w:rsidP="00A94C3C">
      <w:pPr>
        <w:pStyle w:val="Heading4"/>
      </w:pPr>
      <w:r>
        <w:t>b.</w:t>
      </w:r>
      <w:r>
        <w:tab/>
      </w:r>
      <w:r w:rsidR="003E6819" w:rsidRPr="003660A1">
        <w:t>The right to appeal the dismissal and a description of the procedure for appealing the dismissal; and</w:t>
      </w:r>
    </w:p>
    <w:p w14:paraId="063653BD" w14:textId="1B40D570" w:rsidR="003E6819" w:rsidRPr="003660A1" w:rsidRDefault="00A94C3C" w:rsidP="00A94C3C">
      <w:pPr>
        <w:pStyle w:val="Heading4"/>
      </w:pPr>
      <w:r>
        <w:t>c.</w:t>
      </w:r>
      <w:r>
        <w:tab/>
      </w:r>
      <w:r w:rsidR="003E6819" w:rsidRPr="003660A1">
        <w:t xml:space="preserve">If applicable, notice that the </w:t>
      </w:r>
      <w:r w:rsidR="00CF7DBC">
        <w:t>complaint</w:t>
      </w:r>
      <w:r w:rsidR="003E6819" w:rsidRPr="003660A1">
        <w:t xml:space="preserve"> is being referred to an appropriate disciplinary authority for proceedings outside the jurisdiction of </w:t>
      </w:r>
      <w:r w:rsidR="008C71DA" w:rsidRPr="003660A1">
        <w:t>this procedure</w:t>
      </w:r>
      <w:r w:rsidR="003E6819" w:rsidRPr="003660A1">
        <w:t>.</w:t>
      </w:r>
    </w:p>
    <w:p w14:paraId="6D37318E" w14:textId="45CDDC65" w:rsidR="003E6819" w:rsidRPr="003660A1" w:rsidRDefault="00A94C3C" w:rsidP="00A94C3C">
      <w:pPr>
        <w:pStyle w:val="Heading3"/>
      </w:pPr>
      <w:r>
        <w:t>7</w:t>
      </w:r>
      <w:r w:rsidR="003E6819" w:rsidRPr="003660A1">
        <w:t>.</w:t>
      </w:r>
      <w:r w:rsidR="003E6819" w:rsidRPr="003660A1">
        <w:tab/>
        <w:t xml:space="preserve">If the </w:t>
      </w:r>
      <w:r w:rsidR="00CF7DBC">
        <w:t>d</w:t>
      </w:r>
      <w:r w:rsidR="003E6819" w:rsidRPr="003660A1">
        <w:t xml:space="preserve">ismissal involves an allegation of </w:t>
      </w:r>
      <w:r w:rsidR="00625A65">
        <w:t>sex-based harassment</w:t>
      </w:r>
      <w:r w:rsidR="003E6819" w:rsidRPr="003660A1">
        <w:t xml:space="preserve">, the </w:t>
      </w:r>
      <w:r w:rsidR="00CF7DBC">
        <w:t>n</w:t>
      </w:r>
      <w:r w:rsidR="003E6819" w:rsidRPr="003660A1">
        <w:t xml:space="preserve">otice of </w:t>
      </w:r>
      <w:r w:rsidR="00CF7DBC">
        <w:t>d</w:t>
      </w:r>
      <w:r w:rsidR="003E6819" w:rsidRPr="003660A1">
        <w:t xml:space="preserve">ismissal will be served on the </w:t>
      </w:r>
      <w:r w:rsidR="00CF7DBC">
        <w:t>p</w:t>
      </w:r>
      <w:r w:rsidR="003E6819" w:rsidRPr="003660A1">
        <w:t xml:space="preserve">arties simultaneously. </w:t>
      </w:r>
    </w:p>
    <w:p w14:paraId="797501C1" w14:textId="2932B434" w:rsidR="003E6819" w:rsidRPr="003660A1" w:rsidRDefault="00A94C3C" w:rsidP="00A94C3C">
      <w:pPr>
        <w:pStyle w:val="Heading3"/>
      </w:pPr>
      <w:r>
        <w:t>8</w:t>
      </w:r>
      <w:r w:rsidR="00BE095E" w:rsidRPr="003660A1">
        <w:t>.</w:t>
      </w:r>
      <w:r w:rsidR="003E6819" w:rsidRPr="003660A1">
        <w:tab/>
        <w:t xml:space="preserve">When a </w:t>
      </w:r>
      <w:r w:rsidR="00CF7DBC">
        <w:t>complaint</w:t>
      </w:r>
      <w:r w:rsidR="003E6819" w:rsidRPr="003660A1">
        <w:t xml:space="preserve"> is dismissed, </w:t>
      </w:r>
      <w:r w:rsidR="00CF7DBC">
        <w:t>Title IX coordinator</w:t>
      </w:r>
      <w:r w:rsidR="003E6819" w:rsidRPr="003660A1">
        <w:t xml:space="preserve"> will, at a minimum:</w:t>
      </w:r>
    </w:p>
    <w:p w14:paraId="18D13BFB" w14:textId="757A7974" w:rsidR="003E6819" w:rsidRPr="003660A1" w:rsidRDefault="00A94C3C" w:rsidP="00A94C3C">
      <w:pPr>
        <w:pStyle w:val="Heading4"/>
      </w:pPr>
      <w:r>
        <w:t>a.</w:t>
      </w:r>
      <w:r>
        <w:tab/>
      </w:r>
      <w:r w:rsidR="003E6819" w:rsidRPr="003660A1">
        <w:t xml:space="preserve">Offer supportive measures to the </w:t>
      </w:r>
      <w:r w:rsidR="00625A65">
        <w:t>complainant</w:t>
      </w:r>
      <w:r w:rsidR="003E6819" w:rsidRPr="003660A1">
        <w:t xml:space="preserve"> as appropriate;</w:t>
      </w:r>
    </w:p>
    <w:p w14:paraId="2DF6D132" w14:textId="6B117DF4" w:rsidR="003E6819" w:rsidRPr="003660A1" w:rsidRDefault="00A94C3C" w:rsidP="00A94C3C">
      <w:pPr>
        <w:pStyle w:val="Heading4"/>
      </w:pPr>
      <w:r>
        <w:t>b.</w:t>
      </w:r>
      <w:r>
        <w:tab/>
      </w:r>
      <w:r w:rsidR="003E6819" w:rsidRPr="003660A1">
        <w:t xml:space="preserve">If the </w:t>
      </w:r>
      <w:r w:rsidR="00CF7DBC">
        <w:t>respondent</w:t>
      </w:r>
      <w:r w:rsidR="003E6819" w:rsidRPr="003660A1">
        <w:t xml:space="preserve"> has been notified of the allegations, offer supportive measures to the </w:t>
      </w:r>
      <w:r w:rsidR="00CF7DBC">
        <w:t>respondent</w:t>
      </w:r>
      <w:r w:rsidR="003E6819" w:rsidRPr="003660A1">
        <w:t xml:space="preserve"> as appropriate; and</w:t>
      </w:r>
    </w:p>
    <w:p w14:paraId="5A172B59" w14:textId="43A0D2A4" w:rsidR="00BE095E" w:rsidRPr="003660A1" w:rsidRDefault="00A94C3C" w:rsidP="00A94C3C">
      <w:pPr>
        <w:pStyle w:val="Heading4"/>
      </w:pPr>
      <w:r>
        <w:t>c.</w:t>
      </w:r>
      <w:r>
        <w:tab/>
      </w:r>
      <w:r w:rsidR="003E6819" w:rsidRPr="003660A1">
        <w:t xml:space="preserve">Take other prompt and effective steps, as appropriate, to ensure that </w:t>
      </w:r>
      <w:r w:rsidR="00CF7DBC">
        <w:t>sex discrimination</w:t>
      </w:r>
      <w:r w:rsidR="003E6819" w:rsidRPr="003660A1">
        <w:t xml:space="preserve"> does not continue or recur within the </w:t>
      </w:r>
      <w:r w:rsidR="00B252F5">
        <w:t>college</w:t>
      </w:r>
      <w:r w:rsidR="003E6819" w:rsidRPr="003660A1">
        <w:t xml:space="preserve">’s education </w:t>
      </w:r>
      <w:r w:rsidR="00D25779">
        <w:t>program or activity</w:t>
      </w:r>
      <w:r w:rsidR="003E6819" w:rsidRPr="003660A1">
        <w:t>.</w:t>
      </w:r>
    </w:p>
    <w:p w14:paraId="6D23DC68" w14:textId="10AEC3A3" w:rsidR="00CA0327" w:rsidRPr="003660A1" w:rsidRDefault="0037019F" w:rsidP="0037019F">
      <w:pPr>
        <w:pStyle w:val="Heading2"/>
      </w:pPr>
      <w:r>
        <w:t>D.</w:t>
      </w:r>
      <w:r>
        <w:tab/>
      </w:r>
      <w:r w:rsidRPr="003660A1">
        <w:t>RIGHTS OF PARTIES</w:t>
      </w:r>
    </w:p>
    <w:p w14:paraId="13CB612B" w14:textId="7E82DC29" w:rsidR="00CA0327" w:rsidRPr="003660A1" w:rsidRDefault="0037019F" w:rsidP="0037019F">
      <w:pPr>
        <w:pStyle w:val="Heading3"/>
      </w:pPr>
      <w:r>
        <w:t>1.</w:t>
      </w:r>
      <w:r>
        <w:tab/>
      </w:r>
      <w:r w:rsidR="00CA0327" w:rsidRPr="003660A1">
        <w:t xml:space="preserve">The provisions of this disciplinary procedure shall apply equally to the </w:t>
      </w:r>
      <w:r w:rsidR="00CF7DBC">
        <w:t>respondent</w:t>
      </w:r>
      <w:r w:rsidR="00CA0327" w:rsidRPr="003660A1">
        <w:t xml:space="preserve"> and the </w:t>
      </w:r>
      <w:r w:rsidR="00625A65">
        <w:t>complainant</w:t>
      </w:r>
      <w:r w:rsidR="00CA0327" w:rsidRPr="003660A1">
        <w:t>.</w:t>
      </w:r>
    </w:p>
    <w:p w14:paraId="7C5B6AEF" w14:textId="1154FA87" w:rsidR="00CA0327" w:rsidRPr="003660A1" w:rsidRDefault="0037019F" w:rsidP="0037019F">
      <w:pPr>
        <w:pStyle w:val="Heading3"/>
      </w:pPr>
      <w:r>
        <w:t>2</w:t>
      </w:r>
      <w:r w:rsidR="00CA0327" w:rsidRPr="003660A1">
        <w:t>.</w:t>
      </w:r>
      <w:r w:rsidR="00CA0327" w:rsidRPr="003660A1">
        <w:tab/>
        <w:t xml:space="preserve">The </w:t>
      </w:r>
      <w:r w:rsidR="00B252F5">
        <w:t>college</w:t>
      </w:r>
      <w:r w:rsidR="00CA0327" w:rsidRPr="003660A1">
        <w:t xml:space="preserve"> bears the burden of offering and presenting sufficient evidence to establish that the </w:t>
      </w:r>
      <w:r w:rsidR="00CF7DBC">
        <w:t>respondent</w:t>
      </w:r>
      <w:r w:rsidR="00CA0327" w:rsidRPr="003660A1">
        <w:t xml:space="preserve"> is responsible for engaging in </w:t>
      </w:r>
      <w:r w:rsidR="00CF7DBC">
        <w:t>sex discrimination</w:t>
      </w:r>
      <w:r w:rsidR="00CA0327" w:rsidRPr="003660A1">
        <w:t xml:space="preserve">, </w:t>
      </w:r>
      <w:r w:rsidR="00625A65">
        <w:t>sex-based harassment</w:t>
      </w:r>
      <w:r w:rsidR="00CA0327" w:rsidRPr="00D25779">
        <w:t xml:space="preserve">, or </w:t>
      </w:r>
      <w:r w:rsidR="00D25779" w:rsidRPr="00D25779">
        <w:t>retaliation</w:t>
      </w:r>
      <w:r w:rsidR="00CA0327" w:rsidRPr="00D25779">
        <w:t xml:space="preserve"> related to or arising from such allegations by a preponderance of the evidence.</w:t>
      </w:r>
      <w:r w:rsidR="00CF7DBC" w:rsidRPr="00D25779">
        <w:t xml:space="preserve"> </w:t>
      </w:r>
      <w:r w:rsidR="00C344C6" w:rsidRPr="00D25779">
        <w:t>A preponderance of the evidence means on a more probable than not basis.</w:t>
      </w:r>
    </w:p>
    <w:p w14:paraId="5A225B7E" w14:textId="7654EEB4" w:rsidR="00CA0327" w:rsidRPr="003660A1" w:rsidRDefault="0037019F" w:rsidP="0037019F">
      <w:pPr>
        <w:pStyle w:val="Heading3"/>
      </w:pPr>
      <w:r>
        <w:t>3</w:t>
      </w:r>
      <w:r w:rsidR="00CA0327" w:rsidRPr="003660A1">
        <w:t>.</w:t>
      </w:r>
      <w:r w:rsidR="00CA0327" w:rsidRPr="003660A1">
        <w:tab/>
        <w:t xml:space="preserve">The </w:t>
      </w:r>
      <w:r w:rsidR="00CF7DBC">
        <w:t>respondent</w:t>
      </w:r>
      <w:r w:rsidR="00CA0327" w:rsidRPr="003660A1">
        <w:t xml:space="preserve"> will be presumed not responsible until such time as the disciplinary process has been finally resolved. </w:t>
      </w:r>
    </w:p>
    <w:p w14:paraId="11FD29B2" w14:textId="5CD8A43E" w:rsidR="009B3925" w:rsidRPr="003660A1" w:rsidRDefault="0037019F" w:rsidP="0037019F">
      <w:pPr>
        <w:pStyle w:val="Heading2"/>
      </w:pPr>
      <w:r>
        <w:t>E.</w:t>
      </w:r>
      <w:r>
        <w:tab/>
      </w:r>
      <w:r w:rsidRPr="003660A1">
        <w:t>INITIATION OF DISCIPLINE</w:t>
      </w:r>
    </w:p>
    <w:p w14:paraId="46EAA13A" w14:textId="40A8143C" w:rsidR="008E3292" w:rsidRPr="00307E92" w:rsidRDefault="0037019F" w:rsidP="0037019F">
      <w:pPr>
        <w:pStyle w:val="Heading3"/>
      </w:pPr>
      <w:r>
        <w:t>1</w:t>
      </w:r>
      <w:r w:rsidR="00AE20F4" w:rsidRPr="0037019F">
        <w:t xml:space="preserve">. </w:t>
      </w:r>
      <w:r w:rsidR="00AE20F4" w:rsidRPr="0037019F">
        <w:tab/>
      </w:r>
      <w:r w:rsidR="008E3292" w:rsidRPr="0037019F">
        <w:t xml:space="preserve">Upon receipt, the </w:t>
      </w:r>
      <w:r w:rsidR="00307E92">
        <w:t>executive director of human resources or designee</w:t>
      </w:r>
      <w:r w:rsidR="008E3292" w:rsidRPr="0037019F">
        <w:t xml:space="preserve"> shall </w:t>
      </w:r>
      <w:r w:rsidR="006C66CC" w:rsidRPr="0037019F">
        <w:t xml:space="preserve">independently </w:t>
      </w:r>
      <w:r w:rsidR="008E3292" w:rsidRPr="0037019F">
        <w:t xml:space="preserve">review the investigation report provided by the </w:t>
      </w:r>
      <w:r w:rsidR="00CF7DBC">
        <w:t>Title IX coordinator</w:t>
      </w:r>
      <w:r w:rsidR="008E3292" w:rsidRPr="0037019F">
        <w:t xml:space="preserve">, and determine whether, by a preponderance of the evidence, there was a violation of the </w:t>
      </w:r>
      <w:r w:rsidR="00B252F5">
        <w:t>college</w:t>
      </w:r>
      <w:r w:rsidR="008E3292" w:rsidRPr="0037019F">
        <w:t xml:space="preserve">’s </w:t>
      </w:r>
      <w:r w:rsidR="00CF7DBC">
        <w:t>sex discrimination</w:t>
      </w:r>
      <w:r w:rsidR="008E3292" w:rsidRPr="0037019F">
        <w:t xml:space="preserve"> policy; and if so, what disciplinary sanction(s) and/or remedies will be </w:t>
      </w:r>
      <w:r w:rsidR="008E3292" w:rsidRPr="00307E92">
        <w:t xml:space="preserve">recommended. The </w:t>
      </w:r>
      <w:r w:rsidR="00307E92" w:rsidRPr="00307E92">
        <w:t>executive director of human resources or designee</w:t>
      </w:r>
      <w:r w:rsidR="008E3292" w:rsidRPr="00307E92">
        <w:t xml:space="preserve"> shall, within </w:t>
      </w:r>
      <w:r w:rsidR="00F85E43" w:rsidRPr="00307E92">
        <w:t>10</w:t>
      </w:r>
      <w:r w:rsidR="008E3292" w:rsidRPr="00307E92">
        <w:t xml:space="preserve"> </w:t>
      </w:r>
      <w:r w:rsidR="008E3292" w:rsidRPr="00307E92">
        <w:lastRenderedPageBreak/>
        <w:t xml:space="preserve">business days of receiving the investigation report, serve </w:t>
      </w:r>
      <w:r w:rsidR="00CF7DBC" w:rsidRPr="00307E92">
        <w:t>respondent</w:t>
      </w:r>
      <w:r w:rsidR="008E3292" w:rsidRPr="00307E92">
        <w:t xml:space="preserve">, </w:t>
      </w:r>
      <w:r w:rsidR="00625A65" w:rsidRPr="00307E92">
        <w:t>complainant</w:t>
      </w:r>
      <w:r w:rsidR="008E3292" w:rsidRPr="00307E92">
        <w:t xml:space="preserve">, and the </w:t>
      </w:r>
      <w:r w:rsidR="00CF7DBC" w:rsidRPr="00307E92">
        <w:t>Title IX coordinator</w:t>
      </w:r>
      <w:r w:rsidR="008E3292" w:rsidRPr="00307E92">
        <w:t xml:space="preserve"> with a </w:t>
      </w:r>
      <w:r w:rsidR="00D25779" w:rsidRPr="00307E92">
        <w:t>w</w:t>
      </w:r>
      <w:r w:rsidR="008E3292" w:rsidRPr="00307E92">
        <w:t xml:space="preserve">ritten </w:t>
      </w:r>
      <w:r w:rsidR="00D25779" w:rsidRPr="00307E92">
        <w:t>r</w:t>
      </w:r>
      <w:r w:rsidR="008E3292" w:rsidRPr="00307E92">
        <w:t xml:space="preserve">ecommendation, </w:t>
      </w:r>
      <w:r w:rsidR="00AE20F4" w:rsidRPr="00307E92">
        <w:t xml:space="preserve">which includes a description of the </w:t>
      </w:r>
      <w:r w:rsidR="008E3292" w:rsidRPr="00307E92">
        <w:t>facts and conclu</w:t>
      </w:r>
      <w:r w:rsidR="00AE20F4" w:rsidRPr="00307E92">
        <w:t>sions supporting the</w:t>
      </w:r>
      <w:r w:rsidR="008E3292" w:rsidRPr="00307E92">
        <w:t xml:space="preserve"> recommendation</w:t>
      </w:r>
      <w:r w:rsidR="00AE20F4" w:rsidRPr="00307E92">
        <w:t>, as well as a recommended sanction</w:t>
      </w:r>
      <w:r w:rsidR="008E3292" w:rsidRPr="00307E92">
        <w:t xml:space="preserve">. The time for serving a </w:t>
      </w:r>
      <w:r w:rsidR="00D25779" w:rsidRPr="00307E92">
        <w:t>w</w:t>
      </w:r>
      <w:r w:rsidR="008E3292" w:rsidRPr="00307E92">
        <w:t xml:space="preserve">ritten </w:t>
      </w:r>
      <w:r w:rsidR="00D25779" w:rsidRPr="00307E92">
        <w:t>r</w:t>
      </w:r>
      <w:r w:rsidR="008E3292" w:rsidRPr="00307E92">
        <w:t xml:space="preserve">ecommendation may be extended by the </w:t>
      </w:r>
      <w:r w:rsidR="00307E92" w:rsidRPr="00307E92">
        <w:t>executive director of human resources or designee</w:t>
      </w:r>
      <w:r w:rsidR="008E3292" w:rsidRPr="00307E92">
        <w:t xml:space="preserve"> for good cause.</w:t>
      </w:r>
    </w:p>
    <w:p w14:paraId="158C9DAF" w14:textId="0DE97976" w:rsidR="008E3292" w:rsidRPr="00307E92" w:rsidRDefault="0037019F" w:rsidP="0037019F">
      <w:pPr>
        <w:pStyle w:val="Heading4"/>
      </w:pPr>
      <w:r w:rsidRPr="00307E92">
        <w:t>a</w:t>
      </w:r>
      <w:r w:rsidR="00AE20F4" w:rsidRPr="00307E92">
        <w:t>.</w:t>
      </w:r>
      <w:r w:rsidR="00AE20F4" w:rsidRPr="00307E92">
        <w:tab/>
      </w:r>
      <w:r w:rsidR="008E3292" w:rsidRPr="00307E92">
        <w:t xml:space="preserve">The </w:t>
      </w:r>
      <w:r w:rsidR="00625A65" w:rsidRPr="00307E92">
        <w:t>complainant</w:t>
      </w:r>
      <w:r w:rsidR="008E3292" w:rsidRPr="00307E92">
        <w:t xml:space="preserve"> or </w:t>
      </w:r>
      <w:r w:rsidR="00CF7DBC" w:rsidRPr="00307E92">
        <w:t>respondent</w:t>
      </w:r>
      <w:r w:rsidR="008E3292" w:rsidRPr="00307E92">
        <w:t xml:space="preserve"> </w:t>
      </w:r>
      <w:r w:rsidR="00F26BDC" w:rsidRPr="00307E92">
        <w:t xml:space="preserve">shall have 21 calendar days from service </w:t>
      </w:r>
      <w:r w:rsidR="00601CD4" w:rsidRPr="00307E92">
        <w:t xml:space="preserve">of the </w:t>
      </w:r>
      <w:r w:rsidR="00D25779" w:rsidRPr="00307E92">
        <w:t>w</w:t>
      </w:r>
      <w:r w:rsidR="00601CD4" w:rsidRPr="00307E92">
        <w:t xml:space="preserve">ritten </w:t>
      </w:r>
      <w:r w:rsidR="00D25779" w:rsidRPr="00307E92">
        <w:t>r</w:t>
      </w:r>
      <w:r w:rsidR="00601CD4" w:rsidRPr="00307E92">
        <w:t xml:space="preserve">ecommendation </w:t>
      </w:r>
      <w:r w:rsidR="00F26BDC" w:rsidRPr="00307E92">
        <w:t xml:space="preserve">to either accept the </w:t>
      </w:r>
      <w:r w:rsidR="00D25779" w:rsidRPr="00307E92">
        <w:t>w</w:t>
      </w:r>
      <w:r w:rsidR="00F26BDC" w:rsidRPr="00307E92">
        <w:t xml:space="preserve">ritten </w:t>
      </w:r>
      <w:r w:rsidR="00D25779" w:rsidRPr="00307E92">
        <w:t>r</w:t>
      </w:r>
      <w:r w:rsidR="00F26BDC" w:rsidRPr="00307E92">
        <w:t xml:space="preserve">ecommendation or request a hearing before </w:t>
      </w:r>
      <w:r w:rsidR="006C66CC" w:rsidRPr="00307E92">
        <w:t xml:space="preserve">the </w:t>
      </w:r>
      <w:r w:rsidR="00307E92" w:rsidRPr="00307E92">
        <w:t>supervisor</w:t>
      </w:r>
      <w:r w:rsidR="008E3292" w:rsidRPr="00307E92">
        <w:t xml:space="preserve">. The request may be verbal or </w:t>
      </w:r>
      <w:r w:rsidR="00CE281E" w:rsidRPr="00307E92">
        <w:t>written but</w:t>
      </w:r>
      <w:r w:rsidR="008E3292" w:rsidRPr="00307E92">
        <w:t xml:space="preserve"> must be clearly communicated to the </w:t>
      </w:r>
      <w:r w:rsidR="00307E92" w:rsidRPr="00307E92">
        <w:t>executive director of human resources or designee</w:t>
      </w:r>
      <w:r w:rsidR="008E3292" w:rsidRPr="00307E92">
        <w:t xml:space="preserve">. </w:t>
      </w:r>
    </w:p>
    <w:p w14:paraId="215D181B" w14:textId="6508D109" w:rsidR="008E3292" w:rsidRPr="00307E92" w:rsidRDefault="0037019F" w:rsidP="0037019F">
      <w:pPr>
        <w:pStyle w:val="Heading4"/>
      </w:pPr>
      <w:r w:rsidRPr="00307E92">
        <w:t>b</w:t>
      </w:r>
      <w:r w:rsidR="00F26BDC" w:rsidRPr="00307E92">
        <w:t>.</w:t>
      </w:r>
      <w:r w:rsidR="00F26BDC" w:rsidRPr="00307E92">
        <w:tab/>
        <w:t>Upon receiving a request for a hearing, t</w:t>
      </w:r>
      <w:r w:rsidR="008E3292" w:rsidRPr="00307E92">
        <w:t xml:space="preserve">he </w:t>
      </w:r>
      <w:r w:rsidR="00307E92" w:rsidRPr="00307E92">
        <w:t>executive director of human resources or designee</w:t>
      </w:r>
      <w:r w:rsidR="006C66CC" w:rsidRPr="00307E92">
        <w:t xml:space="preserve"> </w:t>
      </w:r>
      <w:r w:rsidR="008E3292" w:rsidRPr="00307E92">
        <w:t xml:space="preserve">shall promptly notify </w:t>
      </w:r>
      <w:r w:rsidR="006C66CC" w:rsidRPr="00307E92">
        <w:t>the</w:t>
      </w:r>
      <w:r w:rsidR="00601CD4" w:rsidRPr="00307E92">
        <w:t xml:space="preserve"> </w:t>
      </w:r>
      <w:r w:rsidR="00307E92" w:rsidRPr="00307E92">
        <w:t>supervisor</w:t>
      </w:r>
      <w:r w:rsidR="00601CD4" w:rsidRPr="00307E92">
        <w:t>, the</w:t>
      </w:r>
      <w:r w:rsidR="006C66CC" w:rsidRPr="00307E92">
        <w:t xml:space="preserve"> other </w:t>
      </w:r>
      <w:r w:rsidR="00642918" w:rsidRPr="00307E92">
        <w:t>party</w:t>
      </w:r>
      <w:r w:rsidR="00F26BDC" w:rsidRPr="00307E92">
        <w:t xml:space="preserve"> and the </w:t>
      </w:r>
      <w:r w:rsidR="00CF7DBC" w:rsidRPr="00307E92">
        <w:t>Title IX coordinator</w:t>
      </w:r>
      <w:r w:rsidR="008E3292" w:rsidRPr="00307E92">
        <w:t xml:space="preserve"> of the request</w:t>
      </w:r>
      <w:r w:rsidR="00F85E43" w:rsidRPr="00307E92">
        <w:t xml:space="preserve"> and forward a copy of the </w:t>
      </w:r>
      <w:r w:rsidR="00776503" w:rsidRPr="00307E92">
        <w:t>w</w:t>
      </w:r>
      <w:r w:rsidR="00F85E43" w:rsidRPr="00307E92">
        <w:t xml:space="preserve">ritten </w:t>
      </w:r>
      <w:r w:rsidR="00776503" w:rsidRPr="00307E92">
        <w:t>r</w:t>
      </w:r>
      <w:r w:rsidR="00F85E43" w:rsidRPr="00307E92">
        <w:t xml:space="preserve">ecommendation to the </w:t>
      </w:r>
      <w:r w:rsidR="00307E92" w:rsidRPr="00307E92">
        <w:rPr>
          <w:i/>
        </w:rPr>
        <w:t>supervisor</w:t>
      </w:r>
      <w:r w:rsidR="008E3292" w:rsidRPr="00307E92">
        <w:t>.</w:t>
      </w:r>
    </w:p>
    <w:p w14:paraId="5FF09334" w14:textId="49EEA530" w:rsidR="00601CD4" w:rsidRPr="00307E92" w:rsidRDefault="0037019F" w:rsidP="0037019F">
      <w:pPr>
        <w:pStyle w:val="Heading4"/>
      </w:pPr>
      <w:r w:rsidRPr="00307E92">
        <w:t>c</w:t>
      </w:r>
      <w:r w:rsidR="00F26BDC" w:rsidRPr="00307E92">
        <w:t>.</w:t>
      </w:r>
      <w:r w:rsidR="00F26BDC" w:rsidRPr="00307E92">
        <w:tab/>
        <w:t>If no request for a</w:t>
      </w:r>
      <w:r w:rsidR="008E3292" w:rsidRPr="00307E92">
        <w:t xml:space="preserve"> hearing is provided to the </w:t>
      </w:r>
      <w:r w:rsidR="00307E92" w:rsidRPr="00307E92">
        <w:t>executive director of human resources or designee</w:t>
      </w:r>
      <w:r w:rsidR="00601CD4" w:rsidRPr="00307E92">
        <w:t xml:space="preserve"> </w:t>
      </w:r>
      <w:r w:rsidR="00F26BDC" w:rsidRPr="00307E92">
        <w:t xml:space="preserve">within the </w:t>
      </w:r>
      <w:r w:rsidR="00D25779" w:rsidRPr="00307E92">
        <w:t>21-calendar</w:t>
      </w:r>
      <w:r w:rsidR="003F607B" w:rsidRPr="00307E92">
        <w:t xml:space="preserve"> </w:t>
      </w:r>
      <w:r w:rsidR="00F26BDC" w:rsidRPr="00307E92">
        <w:t>day period</w:t>
      </w:r>
      <w:r w:rsidR="008E3292" w:rsidRPr="00307E92">
        <w:t xml:space="preserve">, the </w:t>
      </w:r>
      <w:r w:rsidR="00307E92" w:rsidRPr="00307E92">
        <w:t>executive director of human resources or designee</w:t>
      </w:r>
      <w:r w:rsidR="008E3292" w:rsidRPr="00307E92">
        <w:t xml:space="preserve">’s </w:t>
      </w:r>
      <w:r w:rsidR="00D25779" w:rsidRPr="00307E92">
        <w:t>w</w:t>
      </w:r>
      <w:r w:rsidR="008E3292" w:rsidRPr="00307E92">
        <w:t xml:space="preserve">ritten </w:t>
      </w:r>
      <w:r w:rsidR="00D25779" w:rsidRPr="00307E92">
        <w:t>r</w:t>
      </w:r>
      <w:r w:rsidR="008E3292" w:rsidRPr="00307E92">
        <w:t xml:space="preserve">ecommendation </w:t>
      </w:r>
      <w:r w:rsidR="00F26BDC" w:rsidRPr="00307E92">
        <w:t xml:space="preserve">shall be final and the recommended disciplinary sanctions, if any, shall be </w:t>
      </w:r>
      <w:r w:rsidR="008E3292" w:rsidRPr="00307E92">
        <w:t>implemented immediately.</w:t>
      </w:r>
    </w:p>
    <w:p w14:paraId="6EBCC78F" w14:textId="1759C6DF" w:rsidR="005F5A9E" w:rsidRPr="00307E92" w:rsidRDefault="0037019F" w:rsidP="0037019F">
      <w:pPr>
        <w:pStyle w:val="Heading3"/>
      </w:pPr>
      <w:r w:rsidRPr="00307E92">
        <w:t>2</w:t>
      </w:r>
      <w:r w:rsidR="00601CD4" w:rsidRPr="00307E92">
        <w:t>.</w:t>
      </w:r>
      <w:r w:rsidR="00601CD4" w:rsidRPr="00307E92">
        <w:tab/>
      </w:r>
      <w:r w:rsidR="00324B52" w:rsidRPr="00307E92">
        <w:t xml:space="preserve">Service of the </w:t>
      </w:r>
      <w:r w:rsidR="00D25779" w:rsidRPr="00307E92">
        <w:t>w</w:t>
      </w:r>
      <w:r w:rsidR="00F85E43" w:rsidRPr="00307E92">
        <w:t xml:space="preserve">ritten </w:t>
      </w:r>
      <w:r w:rsidR="00D25779" w:rsidRPr="00307E92">
        <w:t>r</w:t>
      </w:r>
      <w:r w:rsidR="005F5A9E" w:rsidRPr="00307E92">
        <w:t>ecommendation</w:t>
      </w:r>
      <w:r w:rsidR="00324B52" w:rsidRPr="00307E92">
        <w:t xml:space="preserve"> or any other document required to be served under this procedure </w:t>
      </w:r>
      <w:r w:rsidR="00411A81" w:rsidRPr="00307E92">
        <w:t>shall</w:t>
      </w:r>
      <w:r w:rsidR="005F5A9E" w:rsidRPr="00307E92">
        <w:t xml:space="preserve"> be done:</w:t>
      </w:r>
    </w:p>
    <w:p w14:paraId="141523A8" w14:textId="36E9B584" w:rsidR="005F5A9E" w:rsidRPr="00307E92" w:rsidRDefault="0037019F" w:rsidP="0037019F">
      <w:pPr>
        <w:pStyle w:val="Heading4"/>
      </w:pPr>
      <w:r w:rsidRPr="00307E92">
        <w:t>a</w:t>
      </w:r>
      <w:r w:rsidR="005F5A9E" w:rsidRPr="00307E92">
        <w:t>.</w:t>
      </w:r>
      <w:r w:rsidR="005F5A9E" w:rsidRPr="00307E92">
        <w:tab/>
        <w:t>In person; or</w:t>
      </w:r>
    </w:p>
    <w:p w14:paraId="7365CA62" w14:textId="43F779C0" w:rsidR="00DC474D" w:rsidRPr="00307E92" w:rsidRDefault="0037019F" w:rsidP="0037019F">
      <w:pPr>
        <w:pStyle w:val="Heading4"/>
      </w:pPr>
      <w:r w:rsidRPr="00307E92">
        <w:t>b</w:t>
      </w:r>
      <w:r w:rsidR="005F5A9E" w:rsidRPr="00307E92">
        <w:t>.</w:t>
      </w:r>
      <w:r w:rsidR="005F5A9E" w:rsidRPr="00307E92">
        <w:tab/>
        <w:t xml:space="preserve">By first class or certified mail to the </w:t>
      </w:r>
      <w:r w:rsidR="00D25779" w:rsidRPr="00307E92">
        <w:t>p</w:t>
      </w:r>
      <w:r w:rsidR="005F5A9E" w:rsidRPr="00307E92">
        <w:t xml:space="preserve">arty’s last known address and by electronic mail to the </w:t>
      </w:r>
      <w:r w:rsidR="00D25779" w:rsidRPr="00307E92">
        <w:t>p</w:t>
      </w:r>
      <w:r w:rsidR="005F5A9E" w:rsidRPr="00307E92">
        <w:t xml:space="preserve">arty’s </w:t>
      </w:r>
      <w:r w:rsidR="00B252F5" w:rsidRPr="00307E92">
        <w:t>college</w:t>
      </w:r>
      <w:r w:rsidR="005F5A9E" w:rsidRPr="00307E92">
        <w:t xml:space="preserve"> email address</w:t>
      </w:r>
      <w:r w:rsidR="00324B52" w:rsidRPr="00307E92">
        <w:t>.</w:t>
      </w:r>
      <w:r w:rsidR="00324B52" w:rsidRPr="00307E92">
        <w:rPr>
          <w:rStyle w:val="FootnoteReference"/>
        </w:rPr>
        <w:footnoteReference w:id="1"/>
      </w:r>
    </w:p>
    <w:p w14:paraId="2312054B" w14:textId="3C85E793" w:rsidR="009B3925" w:rsidRPr="00307E92" w:rsidRDefault="00B252F5" w:rsidP="0037019F">
      <w:pPr>
        <w:pStyle w:val="Heading2"/>
      </w:pPr>
      <w:r w:rsidRPr="00307E92">
        <w:t>F</w:t>
      </w:r>
      <w:r w:rsidR="0037019F" w:rsidRPr="00307E92">
        <w:t>.</w:t>
      </w:r>
      <w:r w:rsidR="0037019F" w:rsidRPr="00307E92">
        <w:tab/>
        <w:t>PRE-HEARING PROCEDURE</w:t>
      </w:r>
    </w:p>
    <w:p w14:paraId="0561D31C" w14:textId="1F408E0A" w:rsidR="009B3925" w:rsidRPr="00307E92" w:rsidRDefault="0037019F" w:rsidP="0037019F">
      <w:pPr>
        <w:pStyle w:val="Heading3"/>
      </w:pPr>
      <w:r w:rsidRPr="00307E92">
        <w:t>1.</w:t>
      </w:r>
      <w:r w:rsidRPr="00307E92">
        <w:tab/>
      </w:r>
      <w:r w:rsidR="009B3925" w:rsidRPr="00307E92">
        <w:t xml:space="preserve">Upon receiving the </w:t>
      </w:r>
      <w:r w:rsidR="00D25779" w:rsidRPr="00307E92">
        <w:t>w</w:t>
      </w:r>
      <w:r w:rsidR="00493AB5" w:rsidRPr="00307E92">
        <w:t xml:space="preserve">ritten </w:t>
      </w:r>
      <w:r w:rsidR="00D25779" w:rsidRPr="00307E92">
        <w:t>r</w:t>
      </w:r>
      <w:r w:rsidR="00493AB5" w:rsidRPr="00307E92">
        <w:t>ecommendation</w:t>
      </w:r>
      <w:r w:rsidR="002A7247" w:rsidRPr="00307E92">
        <w:t xml:space="preserve"> and request for a hearing</w:t>
      </w:r>
      <w:r w:rsidR="009B3925" w:rsidRPr="00307E92">
        <w:t xml:space="preserve">, the </w:t>
      </w:r>
      <w:r w:rsidR="00307E92" w:rsidRPr="00307E92">
        <w:rPr>
          <w:i/>
        </w:rPr>
        <w:t>supervisor</w:t>
      </w:r>
      <w:r w:rsidR="009B3925" w:rsidRPr="00307E92">
        <w:t xml:space="preserve"> will send a hearing notice to all </w:t>
      </w:r>
      <w:r w:rsidR="00D25779" w:rsidRPr="00307E92">
        <w:t>p</w:t>
      </w:r>
      <w:r w:rsidR="009B3925" w:rsidRPr="00307E92">
        <w:t xml:space="preserve">arties in compliance with </w:t>
      </w:r>
      <w:hyperlink r:id="rId17" w:history="1">
        <w:r w:rsidR="00BC5F4C" w:rsidRPr="00307E92">
          <w:rPr>
            <w:rStyle w:val="Hyperlink"/>
          </w:rPr>
          <w:t>WAC 10-08-040</w:t>
        </w:r>
      </w:hyperlink>
      <w:r w:rsidR="009B3925" w:rsidRPr="00307E92">
        <w:t>.</w:t>
      </w:r>
      <w:r w:rsidR="005C4034" w:rsidRPr="00307E92">
        <w:rPr>
          <w:rStyle w:val="FootnoteReference"/>
        </w:rPr>
        <w:footnoteReference w:id="2"/>
      </w:r>
      <w:r w:rsidR="000623E0" w:rsidRPr="00307E92">
        <w:t xml:space="preserve"> </w:t>
      </w:r>
      <w:r w:rsidR="00DE03CA" w:rsidRPr="00307E92">
        <w:t>Th</w:t>
      </w:r>
      <w:r w:rsidR="000047CD" w:rsidRPr="00307E92">
        <w:t xml:space="preserve">e </w:t>
      </w:r>
      <w:r w:rsidR="009B3925" w:rsidRPr="00307E92">
        <w:t xml:space="preserve">hearing date </w:t>
      </w:r>
      <w:r w:rsidR="000047CD" w:rsidRPr="00307E92">
        <w:t>may not be scheduled</w:t>
      </w:r>
      <w:r w:rsidR="009B3925" w:rsidRPr="00307E92">
        <w:t xml:space="preserve"> less than 10</w:t>
      </w:r>
      <w:r w:rsidR="00E16877" w:rsidRPr="00307E92">
        <w:t xml:space="preserve"> business</w:t>
      </w:r>
      <w:r w:rsidR="009B3925" w:rsidRPr="00307E92">
        <w:t xml:space="preserve"> days after the </w:t>
      </w:r>
      <w:r w:rsidR="00CF7DBC" w:rsidRPr="00307E92">
        <w:t>Title IX coordinator</w:t>
      </w:r>
      <w:r w:rsidR="009B3925" w:rsidRPr="00307E92">
        <w:t xml:space="preserve"> provide</w:t>
      </w:r>
      <w:r w:rsidR="00904AED" w:rsidRPr="00307E92">
        <w:t>s</w:t>
      </w:r>
      <w:r w:rsidR="009B3925" w:rsidRPr="00307E92">
        <w:t xml:space="preserve"> the </w:t>
      </w:r>
      <w:r w:rsidR="00D25779" w:rsidRPr="00307E92">
        <w:t>f</w:t>
      </w:r>
      <w:r w:rsidR="009B3925" w:rsidRPr="00307E92">
        <w:t xml:space="preserve">inal </w:t>
      </w:r>
      <w:r w:rsidR="00D25779" w:rsidRPr="00307E92">
        <w:t>i</w:t>
      </w:r>
      <w:r w:rsidR="009B3925" w:rsidRPr="00307E92">
        <w:t xml:space="preserve">nvestigation </w:t>
      </w:r>
      <w:r w:rsidR="00D25779" w:rsidRPr="00307E92">
        <w:t>r</w:t>
      </w:r>
      <w:r w:rsidR="009B3925" w:rsidRPr="00307E92">
        <w:t>eport to</w:t>
      </w:r>
      <w:r w:rsidR="00EE54B0" w:rsidRPr="00307E92">
        <w:t xml:space="preserve"> the </w:t>
      </w:r>
      <w:r w:rsidR="00D25779" w:rsidRPr="00307E92">
        <w:t>parties</w:t>
      </w:r>
      <w:r w:rsidR="00904AED" w:rsidRPr="00307E92">
        <w:t xml:space="preserve"> and the </w:t>
      </w:r>
      <w:r w:rsidR="00307E92" w:rsidRPr="00307E92">
        <w:t>executive director of human resources or designee</w:t>
      </w:r>
      <w:r w:rsidR="009B3925" w:rsidRPr="00307E92">
        <w:t>.</w:t>
      </w:r>
      <w:r w:rsidR="000623E0" w:rsidRPr="00307E92">
        <w:t xml:space="preserve"> </w:t>
      </w:r>
      <w:r w:rsidR="00904AED" w:rsidRPr="00307E92">
        <w:t xml:space="preserve">The </w:t>
      </w:r>
      <w:r w:rsidR="00B252F5" w:rsidRPr="00307E92">
        <w:t>college</w:t>
      </w:r>
      <w:r w:rsidR="00DC474D" w:rsidRPr="00307E92">
        <w:t xml:space="preserve"> </w:t>
      </w:r>
      <w:r w:rsidR="001324CC" w:rsidRPr="00307E92">
        <w:t xml:space="preserve">may, at its discretion, contract with an administrative law judge or other </w:t>
      </w:r>
      <w:r w:rsidR="00DC474D" w:rsidRPr="00307E92">
        <w:t xml:space="preserve">qualified </w:t>
      </w:r>
      <w:r w:rsidR="001324CC" w:rsidRPr="00307E92">
        <w:t xml:space="preserve">person to act as the </w:t>
      </w:r>
      <w:r w:rsidR="00307E92" w:rsidRPr="00307E92">
        <w:rPr>
          <w:i/>
        </w:rPr>
        <w:t>supervisor</w:t>
      </w:r>
      <w:r w:rsidR="001324CC" w:rsidRPr="00307E92">
        <w:t>.</w:t>
      </w:r>
    </w:p>
    <w:p w14:paraId="14EC89E1" w14:textId="18500442" w:rsidR="00206AC6" w:rsidRPr="00307E92" w:rsidRDefault="0037019F" w:rsidP="0037019F">
      <w:pPr>
        <w:pStyle w:val="Heading3"/>
      </w:pPr>
      <w:r w:rsidRPr="00307E92">
        <w:t>2</w:t>
      </w:r>
      <w:r w:rsidR="00904AED" w:rsidRPr="00307E92">
        <w:t>.</w:t>
      </w:r>
      <w:r w:rsidR="00904AED" w:rsidRPr="00307E92">
        <w:tab/>
      </w:r>
      <w:r w:rsidR="00642918" w:rsidRPr="00307E92">
        <w:t>C</w:t>
      </w:r>
      <w:r w:rsidR="00625A65" w:rsidRPr="00307E92">
        <w:t>omplainant</w:t>
      </w:r>
      <w:r w:rsidR="00904AED" w:rsidRPr="00307E92">
        <w:t xml:space="preserve">s and </w:t>
      </w:r>
      <w:r w:rsidR="00CF7DBC" w:rsidRPr="00307E92">
        <w:t>respondent</w:t>
      </w:r>
      <w:r w:rsidR="00904AED" w:rsidRPr="00307E92">
        <w:t xml:space="preserve">s may be accompanied by </w:t>
      </w:r>
      <w:r w:rsidR="00206AC6" w:rsidRPr="00307E92">
        <w:t xml:space="preserve">an </w:t>
      </w:r>
      <w:r w:rsidR="00642918" w:rsidRPr="00307E92">
        <w:t>a</w:t>
      </w:r>
      <w:r w:rsidR="00206AC6" w:rsidRPr="00307E92">
        <w:t>dvisor of their cho</w:t>
      </w:r>
      <w:r w:rsidR="00AA0543" w:rsidRPr="00307E92">
        <w:t>osing</w:t>
      </w:r>
      <w:r w:rsidR="009B3925" w:rsidRPr="00307E92">
        <w:t xml:space="preserve"> </w:t>
      </w:r>
      <w:r w:rsidR="00206AC6" w:rsidRPr="00307E92">
        <w:t xml:space="preserve">during the disciplinary process at the </w:t>
      </w:r>
      <w:r w:rsidR="00642918" w:rsidRPr="00307E92">
        <w:t>p</w:t>
      </w:r>
      <w:r w:rsidR="00206AC6" w:rsidRPr="00307E92">
        <w:t>arty’s own expense.</w:t>
      </w:r>
      <w:r w:rsidR="000623E0" w:rsidRPr="00307E92">
        <w:t xml:space="preserve"> </w:t>
      </w:r>
      <w:r w:rsidR="00206AC6" w:rsidRPr="00307E92">
        <w:t xml:space="preserve">The </w:t>
      </w:r>
      <w:r w:rsidR="00642918" w:rsidRPr="00307E92">
        <w:t>a</w:t>
      </w:r>
      <w:r w:rsidR="00206AC6" w:rsidRPr="00307E92">
        <w:t xml:space="preserve">dvisor may be an attorney and/or, if the </w:t>
      </w:r>
      <w:r w:rsidR="00642918" w:rsidRPr="00307E92">
        <w:t>party</w:t>
      </w:r>
      <w:r w:rsidR="00206AC6" w:rsidRPr="00307E92">
        <w:t xml:space="preserve"> is a represented employee, a union representative.</w:t>
      </w:r>
      <w:r w:rsidR="00CF7DBC" w:rsidRPr="00307E92">
        <w:t xml:space="preserve"> </w:t>
      </w:r>
      <w:r w:rsidR="00AA0543" w:rsidRPr="00307E92">
        <w:t xml:space="preserve">If a </w:t>
      </w:r>
      <w:r w:rsidR="00642918" w:rsidRPr="00307E92">
        <w:t>party</w:t>
      </w:r>
      <w:r w:rsidR="00904AED" w:rsidRPr="00307E92">
        <w:t xml:space="preserve"> does not select their own advisor, the </w:t>
      </w:r>
      <w:r w:rsidR="00B252F5" w:rsidRPr="00307E92">
        <w:t>college</w:t>
      </w:r>
      <w:r w:rsidR="00904AED" w:rsidRPr="00307E92">
        <w:t xml:space="preserve"> will provide the </w:t>
      </w:r>
      <w:r w:rsidR="00642918" w:rsidRPr="00307E92">
        <w:t>party</w:t>
      </w:r>
      <w:r w:rsidR="00904AED" w:rsidRPr="00307E92">
        <w:t xml:space="preserve"> with an advisor at no </w:t>
      </w:r>
      <w:r w:rsidR="00172083" w:rsidRPr="00307E92">
        <w:t xml:space="preserve">cost to the </w:t>
      </w:r>
      <w:r w:rsidR="00642918" w:rsidRPr="00307E92">
        <w:t>party</w:t>
      </w:r>
      <w:r w:rsidR="00172083" w:rsidRPr="00307E92">
        <w:t>.</w:t>
      </w:r>
      <w:r w:rsidR="00CF7DBC" w:rsidRPr="00307E92">
        <w:t xml:space="preserve"> </w:t>
      </w:r>
    </w:p>
    <w:p w14:paraId="517232C3" w14:textId="32E03FD9" w:rsidR="009B3925" w:rsidRPr="003660A1" w:rsidRDefault="0037019F" w:rsidP="0037019F">
      <w:pPr>
        <w:pStyle w:val="Heading4"/>
      </w:pPr>
      <w:r w:rsidRPr="00307E92">
        <w:t>a.</w:t>
      </w:r>
      <w:r w:rsidRPr="00307E92">
        <w:tab/>
      </w:r>
      <w:r w:rsidR="00206AC6" w:rsidRPr="00307E92">
        <w:t xml:space="preserve">If the </w:t>
      </w:r>
      <w:r w:rsidR="00642918" w:rsidRPr="00307E92">
        <w:t>advisor</w:t>
      </w:r>
      <w:r w:rsidR="00206AC6" w:rsidRPr="00307E92">
        <w:t xml:space="preserve"> is an attorney, the </w:t>
      </w:r>
      <w:r w:rsidR="00642918" w:rsidRPr="00307E92">
        <w:t>advisor</w:t>
      </w:r>
      <w:r w:rsidR="00206AC6" w:rsidRPr="00307E92">
        <w:t xml:space="preserve"> must f</w:t>
      </w:r>
      <w:r w:rsidR="009B3925" w:rsidRPr="00307E92">
        <w:t xml:space="preserve">ile a notice of appearance with the </w:t>
      </w:r>
      <w:r w:rsidR="00307E92" w:rsidRPr="00307E92">
        <w:rPr>
          <w:iCs/>
        </w:rPr>
        <w:t>supervisor</w:t>
      </w:r>
      <w:r w:rsidR="009B3925" w:rsidRPr="00307E92">
        <w:rPr>
          <w:iCs/>
        </w:rPr>
        <w:t xml:space="preserve"> with copies to all parties and the </w:t>
      </w:r>
      <w:r w:rsidR="00307E92" w:rsidRPr="00307E92">
        <w:rPr>
          <w:iCs/>
        </w:rPr>
        <w:t>executive director of human resources or designee</w:t>
      </w:r>
      <w:r w:rsidR="00206AC6" w:rsidRPr="00307E92">
        <w:rPr>
          <w:iCs/>
        </w:rPr>
        <w:t xml:space="preserve"> at least five </w:t>
      </w:r>
      <w:r w:rsidR="003F607B" w:rsidRPr="00307E92">
        <w:rPr>
          <w:iCs/>
        </w:rPr>
        <w:t xml:space="preserve">business </w:t>
      </w:r>
      <w:r w:rsidR="00206AC6" w:rsidRPr="00307E92">
        <w:rPr>
          <w:iCs/>
        </w:rPr>
        <w:t>days before the hearing.</w:t>
      </w:r>
      <w:r w:rsidR="000623E0" w:rsidRPr="00307E92">
        <w:rPr>
          <w:iCs/>
        </w:rPr>
        <w:t xml:space="preserve"> </w:t>
      </w:r>
      <w:r w:rsidR="00206AC6" w:rsidRPr="00307E92">
        <w:rPr>
          <w:iCs/>
        </w:rPr>
        <w:t>If a notice of appearance is</w:t>
      </w:r>
      <w:r w:rsidR="00206AC6" w:rsidRPr="00307E92">
        <w:t xml:space="preserve"> not filed within this timeframe, the </w:t>
      </w:r>
      <w:r w:rsidR="00642918" w:rsidRPr="00307E92">
        <w:t>party</w:t>
      </w:r>
      <w:r w:rsidR="00206AC6" w:rsidRPr="00307E92">
        <w:t xml:space="preserve"> will be deemed to have waived their right to have an attorney as an </w:t>
      </w:r>
      <w:r w:rsidR="00642918" w:rsidRPr="00307E92">
        <w:t>advisor</w:t>
      </w:r>
      <w:r w:rsidR="00206AC6" w:rsidRPr="00307E92">
        <w:t>.</w:t>
      </w:r>
    </w:p>
    <w:p w14:paraId="25123B42" w14:textId="37CB596D" w:rsidR="009B763E" w:rsidRPr="00642918" w:rsidRDefault="0037019F" w:rsidP="0037019F">
      <w:pPr>
        <w:pStyle w:val="Heading4"/>
      </w:pPr>
      <w:r>
        <w:lastRenderedPageBreak/>
        <w:t>b.</w:t>
      </w:r>
      <w:r>
        <w:tab/>
      </w:r>
      <w:r w:rsidR="009B763E" w:rsidRPr="003660A1">
        <w:t xml:space="preserve">If a </w:t>
      </w:r>
      <w:r w:rsidR="00642918">
        <w:t>party</w:t>
      </w:r>
      <w:r w:rsidR="009B763E" w:rsidRPr="003660A1">
        <w:t xml:space="preserve"> is a represented employee who chooses not to use a union-provided </w:t>
      </w:r>
      <w:r w:rsidR="00642918" w:rsidRPr="00307E92">
        <w:t>advisor</w:t>
      </w:r>
      <w:r w:rsidR="009B763E" w:rsidRPr="00307E92">
        <w:t xml:space="preserve">, the </w:t>
      </w:r>
      <w:r w:rsidR="00642918" w:rsidRPr="00307E92">
        <w:t>party</w:t>
      </w:r>
      <w:r w:rsidR="009B763E" w:rsidRPr="00307E92">
        <w:t xml:space="preserve"> must provide the </w:t>
      </w:r>
      <w:r w:rsidR="00307E92" w:rsidRPr="00307E92">
        <w:t>supervisor</w:t>
      </w:r>
      <w:r w:rsidR="009B763E" w:rsidRPr="00307E92">
        <w:rPr>
          <w:b/>
        </w:rPr>
        <w:t xml:space="preserve"> </w:t>
      </w:r>
      <w:r w:rsidR="009B763E" w:rsidRPr="00307E92">
        <w:t>with a signed waiver of union</w:t>
      </w:r>
      <w:r w:rsidR="009B763E" w:rsidRPr="003660A1">
        <w:t xml:space="preserve"> </w:t>
      </w:r>
      <w:r w:rsidR="009B763E" w:rsidRPr="00642918">
        <w:t xml:space="preserve">representation, </w:t>
      </w:r>
      <w:r w:rsidR="00CF0ABE" w:rsidRPr="00642918">
        <w:t>including written consent</w:t>
      </w:r>
      <w:r w:rsidR="009B763E" w:rsidRPr="00642918">
        <w:t xml:space="preserve"> from the union.</w:t>
      </w:r>
    </w:p>
    <w:p w14:paraId="6B61894D" w14:textId="50DAC141" w:rsidR="00DA49BA" w:rsidRPr="00642918" w:rsidRDefault="0037019F" w:rsidP="0037019F">
      <w:pPr>
        <w:pStyle w:val="Heading3"/>
      </w:pPr>
      <w:r w:rsidRPr="00642918">
        <w:t>3</w:t>
      </w:r>
      <w:r w:rsidR="00993314" w:rsidRPr="00642918">
        <w:t>.</w:t>
      </w:r>
      <w:r w:rsidR="00993314" w:rsidRPr="00642918">
        <w:tab/>
      </w:r>
      <w:r w:rsidR="009B3925" w:rsidRPr="00642918">
        <w:t>In pr</w:t>
      </w:r>
      <w:r w:rsidR="00EE54B0" w:rsidRPr="00642918">
        <w:t xml:space="preserve">eparation for the hearing, the </w:t>
      </w:r>
      <w:r w:rsidR="00B252F5" w:rsidRPr="00642918">
        <w:t>college</w:t>
      </w:r>
      <w:r w:rsidR="00112A44" w:rsidRPr="00642918">
        <w:t xml:space="preserve"> will provide </w:t>
      </w:r>
      <w:r w:rsidR="00D25779" w:rsidRPr="00642918">
        <w:t>parties</w:t>
      </w:r>
      <w:r w:rsidR="009B3925" w:rsidRPr="00642918">
        <w:t xml:space="preserve"> wi</w:t>
      </w:r>
      <w:r w:rsidR="00112A44" w:rsidRPr="00642918">
        <w:t>th an accurate description of</w:t>
      </w:r>
      <w:r w:rsidR="009B3925" w:rsidRPr="00642918">
        <w:t xml:space="preserve"> all </w:t>
      </w:r>
      <w:r w:rsidR="00112A44" w:rsidRPr="00642918">
        <w:t xml:space="preserve">relevant and not otherwise privileged </w:t>
      </w:r>
      <w:r w:rsidR="009B3925" w:rsidRPr="00642918">
        <w:t xml:space="preserve">evidence gathered by the investigator during the investigation, regardless of whether the </w:t>
      </w:r>
      <w:r w:rsidR="00B252F5" w:rsidRPr="00642918">
        <w:t>college</w:t>
      </w:r>
      <w:r w:rsidR="009B3925" w:rsidRPr="00642918">
        <w:t xml:space="preserve"> intends to offer the evidence at the hearing.</w:t>
      </w:r>
      <w:r w:rsidR="00CF7DBC" w:rsidRPr="00642918">
        <w:t xml:space="preserve"> </w:t>
      </w:r>
      <w:r w:rsidR="00112A44" w:rsidRPr="00642918">
        <w:t xml:space="preserve">All </w:t>
      </w:r>
      <w:r w:rsidR="00D25779" w:rsidRPr="00642918">
        <w:t>parties</w:t>
      </w:r>
      <w:r w:rsidR="00112A44" w:rsidRPr="00642918">
        <w:t xml:space="preserve"> shall have an equal opportunity to access the evidence upon request.</w:t>
      </w:r>
    </w:p>
    <w:p w14:paraId="19670FC2" w14:textId="6DB27153" w:rsidR="00993314" w:rsidRPr="00642918" w:rsidRDefault="0037019F" w:rsidP="0037019F">
      <w:pPr>
        <w:pStyle w:val="Heading3"/>
      </w:pPr>
      <w:r w:rsidRPr="00CE281E">
        <w:t>4</w:t>
      </w:r>
      <w:r w:rsidR="00993314" w:rsidRPr="00CE281E">
        <w:t>.</w:t>
      </w:r>
      <w:r w:rsidR="00993314" w:rsidRPr="00CE281E">
        <w:tab/>
        <w:t xml:space="preserve">The </w:t>
      </w:r>
      <w:r w:rsidR="00307E92" w:rsidRPr="00CE281E">
        <w:t>supervisor</w:t>
      </w:r>
      <w:r w:rsidR="00993314" w:rsidRPr="00CE281E">
        <w:t xml:space="preserve"> may, or upon the request of any </w:t>
      </w:r>
      <w:r w:rsidR="00642918" w:rsidRPr="00CE281E">
        <w:t>party</w:t>
      </w:r>
      <w:r w:rsidR="00993314" w:rsidRPr="00CE281E">
        <w:t xml:space="preserve">, must, conduct the hearing with the </w:t>
      </w:r>
      <w:r w:rsidR="00D25779" w:rsidRPr="00CE281E">
        <w:t>parties</w:t>
      </w:r>
      <w:r w:rsidR="00993314" w:rsidRPr="00CE281E">
        <w:t xml:space="preserve"> physically present in separate locations, with technology enabling the </w:t>
      </w:r>
      <w:r w:rsidR="00307E92" w:rsidRPr="00CE281E">
        <w:t>supervisor</w:t>
      </w:r>
      <w:r w:rsidR="00993314" w:rsidRPr="00CE281E">
        <w:t xml:space="preserve"> and </w:t>
      </w:r>
      <w:r w:rsidR="00D25779" w:rsidRPr="00CE281E">
        <w:t>parties</w:t>
      </w:r>
      <w:r w:rsidR="00993314" w:rsidRPr="00CE281E">
        <w:t xml:space="preserve"> to simultaneously see and hear the </w:t>
      </w:r>
      <w:r w:rsidR="00642918" w:rsidRPr="00CE281E">
        <w:t>party</w:t>
      </w:r>
      <w:r w:rsidR="00993314" w:rsidRPr="00CE281E">
        <w:t xml:space="preserve"> or the witness while that</w:t>
      </w:r>
      <w:r w:rsidR="00993314" w:rsidRPr="00642918">
        <w:t xml:space="preserve"> person is speaking.</w:t>
      </w:r>
    </w:p>
    <w:p w14:paraId="2801E403" w14:textId="5E0615FF" w:rsidR="009B3925" w:rsidRPr="00642918" w:rsidRDefault="00B252F5" w:rsidP="0037019F">
      <w:pPr>
        <w:pStyle w:val="Heading2"/>
      </w:pPr>
      <w:r w:rsidRPr="00642918">
        <w:t>G</w:t>
      </w:r>
      <w:r w:rsidR="0037019F" w:rsidRPr="00642918">
        <w:t>.</w:t>
      </w:r>
      <w:r w:rsidR="0037019F" w:rsidRPr="00642918">
        <w:tab/>
        <w:t>EVIDENCE</w:t>
      </w:r>
    </w:p>
    <w:p w14:paraId="6B951995" w14:textId="2FD9487C" w:rsidR="009B3925" w:rsidRPr="00642918" w:rsidRDefault="009B3925" w:rsidP="0037019F">
      <w:pPr>
        <w:pStyle w:val="BodyText025"/>
      </w:pPr>
      <w:r w:rsidRPr="00642918">
        <w:t xml:space="preserve">The introduction and consideration of evidence during the </w:t>
      </w:r>
      <w:r w:rsidR="00A07D88" w:rsidRPr="00642918">
        <w:t xml:space="preserve">disciplinary </w:t>
      </w:r>
      <w:r w:rsidRPr="00642918">
        <w:t xml:space="preserve">hearing is subject to the following </w:t>
      </w:r>
      <w:r w:rsidR="009566C5" w:rsidRPr="00642918">
        <w:t xml:space="preserve">definitions, </w:t>
      </w:r>
      <w:r w:rsidRPr="00642918">
        <w:t>procedures</w:t>
      </w:r>
      <w:r w:rsidR="0004189B" w:rsidRPr="00642918">
        <w:t>,</w:t>
      </w:r>
      <w:r w:rsidRPr="00642918">
        <w:t xml:space="preserve"> and restrictions:</w:t>
      </w:r>
    </w:p>
    <w:p w14:paraId="2CC349E7" w14:textId="7EA591B3" w:rsidR="009566C5" w:rsidRPr="00642918" w:rsidRDefault="00960183" w:rsidP="0037019F">
      <w:pPr>
        <w:pStyle w:val="Heading3"/>
        <w:rPr>
          <w:rFonts w:cstheme="minorHAnsi"/>
        </w:rPr>
      </w:pPr>
      <w:r w:rsidRPr="00642918">
        <w:rPr>
          <w:rFonts w:cstheme="minorHAnsi"/>
        </w:rPr>
        <w:t>1.</w:t>
      </w:r>
      <w:r w:rsidRPr="00642918">
        <w:rPr>
          <w:rFonts w:cstheme="minorHAnsi"/>
        </w:rPr>
        <w:tab/>
      </w:r>
      <w:r w:rsidR="009B3925" w:rsidRPr="00642918">
        <w:rPr>
          <w:rFonts w:cstheme="minorHAnsi"/>
          <w:b/>
          <w:bCs/>
        </w:rPr>
        <w:t>Relevan</w:t>
      </w:r>
      <w:r w:rsidR="009566C5" w:rsidRPr="00642918">
        <w:rPr>
          <w:rFonts w:cstheme="minorHAnsi"/>
          <w:b/>
          <w:bCs/>
        </w:rPr>
        <w:t>t or Relevance</w:t>
      </w:r>
      <w:r w:rsidR="009566C5" w:rsidRPr="00642918">
        <w:rPr>
          <w:rFonts w:cstheme="minorHAnsi"/>
        </w:rPr>
        <w:t xml:space="preserve"> </w:t>
      </w:r>
      <w:r w:rsidR="009566C5" w:rsidRPr="00642918">
        <w:rPr>
          <w:w w:val="105"/>
        </w:rPr>
        <w:t xml:space="preserve">means </w:t>
      </w:r>
      <w:r w:rsidR="00483127" w:rsidRPr="00642918">
        <w:rPr>
          <w:w w:val="105"/>
        </w:rPr>
        <w:t xml:space="preserve">a question or evidence is </w:t>
      </w:r>
      <w:r w:rsidR="009566C5" w:rsidRPr="00642918">
        <w:rPr>
          <w:w w:val="105"/>
        </w:rPr>
        <w:t xml:space="preserve">related to the allegations of </w:t>
      </w:r>
      <w:r w:rsidR="00CF7DBC" w:rsidRPr="00642918">
        <w:rPr>
          <w:w w:val="105"/>
        </w:rPr>
        <w:t>sex discrimination</w:t>
      </w:r>
      <w:r w:rsidR="009566C5" w:rsidRPr="00642918">
        <w:rPr>
          <w:w w:val="105"/>
        </w:rPr>
        <w:t xml:space="preserve"> at issue in the proceeding. Questions are relevant when they seek evidence that may aid in showing whether the alleged </w:t>
      </w:r>
      <w:r w:rsidR="00CF7DBC" w:rsidRPr="00642918">
        <w:rPr>
          <w:w w:val="105"/>
        </w:rPr>
        <w:t>sex discrimination</w:t>
      </w:r>
      <w:r w:rsidR="009566C5" w:rsidRPr="00642918">
        <w:rPr>
          <w:w w:val="105"/>
        </w:rPr>
        <w:t xml:space="preserve"> occurred, and evidence is relevant when it may aid a decision</w:t>
      </w:r>
      <w:r w:rsidR="0004189B" w:rsidRPr="00642918">
        <w:rPr>
          <w:w w:val="105"/>
        </w:rPr>
        <w:t xml:space="preserve"> </w:t>
      </w:r>
      <w:r w:rsidR="009566C5" w:rsidRPr="00642918">
        <w:rPr>
          <w:w w:val="105"/>
        </w:rPr>
        <w:t xml:space="preserve">maker in determining whether the alleged </w:t>
      </w:r>
      <w:r w:rsidR="00CF7DBC" w:rsidRPr="00642918">
        <w:rPr>
          <w:w w:val="105"/>
        </w:rPr>
        <w:t>sex discrimination</w:t>
      </w:r>
      <w:r w:rsidR="009566C5" w:rsidRPr="00642918">
        <w:rPr>
          <w:w w:val="105"/>
        </w:rPr>
        <w:t xml:space="preserve"> occurred.</w:t>
      </w:r>
    </w:p>
    <w:p w14:paraId="034B8B7D" w14:textId="3726225A" w:rsidR="00483127" w:rsidRPr="00642918" w:rsidRDefault="00960183" w:rsidP="0037019F">
      <w:pPr>
        <w:pStyle w:val="Heading3"/>
        <w:rPr>
          <w:rFonts w:cstheme="minorHAnsi"/>
        </w:rPr>
      </w:pPr>
      <w:r w:rsidRPr="00642918">
        <w:rPr>
          <w:rFonts w:cstheme="minorHAnsi"/>
        </w:rPr>
        <w:t>2.</w:t>
      </w:r>
      <w:r w:rsidRPr="00642918">
        <w:rPr>
          <w:rFonts w:cstheme="minorHAnsi"/>
        </w:rPr>
        <w:tab/>
      </w:r>
      <w:r w:rsidR="009566C5" w:rsidRPr="00642918">
        <w:rPr>
          <w:rFonts w:cstheme="minorHAnsi"/>
          <w:b/>
          <w:bCs/>
        </w:rPr>
        <w:t xml:space="preserve">Impermissible </w:t>
      </w:r>
      <w:r w:rsidR="0071726B">
        <w:rPr>
          <w:rFonts w:cstheme="minorHAnsi"/>
          <w:b/>
          <w:bCs/>
        </w:rPr>
        <w:t>E</w:t>
      </w:r>
      <w:r w:rsidR="009566C5" w:rsidRPr="00642918">
        <w:rPr>
          <w:rFonts w:cstheme="minorHAnsi"/>
          <w:b/>
          <w:bCs/>
        </w:rPr>
        <w:t>vidence</w:t>
      </w:r>
      <w:r w:rsidR="009566C5" w:rsidRPr="00642918">
        <w:rPr>
          <w:rFonts w:cstheme="minorHAnsi"/>
        </w:rPr>
        <w:t>.</w:t>
      </w:r>
    </w:p>
    <w:p w14:paraId="73B165F9" w14:textId="650A5A0D" w:rsidR="009566C5" w:rsidRPr="00642918" w:rsidRDefault="00960183" w:rsidP="00960183">
      <w:pPr>
        <w:pStyle w:val="Heading4"/>
      </w:pPr>
      <w:r w:rsidRPr="00642918">
        <w:t>a</w:t>
      </w:r>
      <w:r w:rsidR="00483127" w:rsidRPr="00642918">
        <w:t>.</w:t>
      </w:r>
      <w:r w:rsidR="00483127" w:rsidRPr="00642918">
        <w:tab/>
      </w:r>
      <w:r w:rsidR="00483127" w:rsidRPr="00642918">
        <w:rPr>
          <w:b/>
          <w:bCs/>
        </w:rPr>
        <w:t>Privileged information</w:t>
      </w:r>
      <w:r w:rsidR="00483127" w:rsidRPr="00642918">
        <w:t xml:space="preserve">. </w:t>
      </w:r>
      <w:r w:rsidR="009566C5" w:rsidRPr="00642918">
        <w:t xml:space="preserve">The </w:t>
      </w:r>
      <w:r w:rsidR="00307E92">
        <w:t>supervisor</w:t>
      </w:r>
      <w:r w:rsidR="009566C5" w:rsidRPr="00642918">
        <w:t xml:space="preserve"> shall not consider legally privileged information unless the individual holding the privilege has effectively waived the privilege. Privileged information includes, but is not limited to, information protected by the following: </w:t>
      </w:r>
    </w:p>
    <w:p w14:paraId="77A1FA63" w14:textId="0485C3B7" w:rsidR="009566C5" w:rsidRPr="00642918" w:rsidRDefault="00960183" w:rsidP="00960183">
      <w:pPr>
        <w:pStyle w:val="Heading5"/>
      </w:pPr>
      <w:r w:rsidRPr="00642918">
        <w:t>i.</w:t>
      </w:r>
      <w:r w:rsidRPr="00642918">
        <w:tab/>
      </w:r>
      <w:r w:rsidR="009566C5" w:rsidRPr="00642918">
        <w:t xml:space="preserve">Spousal/domestic partner privilege; </w:t>
      </w:r>
    </w:p>
    <w:p w14:paraId="1C0FAEC3" w14:textId="38DDC6F4" w:rsidR="009566C5" w:rsidRPr="00642918" w:rsidRDefault="00960183" w:rsidP="00960183">
      <w:pPr>
        <w:pStyle w:val="Heading5"/>
      </w:pPr>
      <w:r w:rsidRPr="00642918">
        <w:t>ii.</w:t>
      </w:r>
      <w:r w:rsidRPr="00642918">
        <w:tab/>
      </w:r>
      <w:r w:rsidR="009566C5" w:rsidRPr="00642918">
        <w:t>Attorney-</w:t>
      </w:r>
      <w:r w:rsidR="00642918">
        <w:t>c</w:t>
      </w:r>
      <w:r w:rsidR="009566C5" w:rsidRPr="00642918">
        <w:t xml:space="preserve">lient and attorney work product privileges; </w:t>
      </w:r>
    </w:p>
    <w:p w14:paraId="20B03FFD" w14:textId="0961E81B" w:rsidR="009566C5" w:rsidRPr="00642918" w:rsidRDefault="00960183" w:rsidP="00960183">
      <w:pPr>
        <w:pStyle w:val="Heading5"/>
      </w:pPr>
      <w:r w:rsidRPr="00642918">
        <w:t>iii.</w:t>
      </w:r>
      <w:r w:rsidRPr="00642918">
        <w:tab/>
      </w:r>
      <w:r w:rsidR="009566C5" w:rsidRPr="00642918">
        <w:t>Privileges applicable to members of the clergy and priests;</w:t>
      </w:r>
    </w:p>
    <w:p w14:paraId="24939BE3" w14:textId="3D716519" w:rsidR="009566C5" w:rsidRPr="00642918" w:rsidRDefault="00960183" w:rsidP="00960183">
      <w:pPr>
        <w:pStyle w:val="Heading5"/>
      </w:pPr>
      <w:r w:rsidRPr="00642918">
        <w:t>iv.</w:t>
      </w:r>
      <w:r w:rsidRPr="00642918">
        <w:tab/>
      </w:r>
      <w:r w:rsidR="009566C5" w:rsidRPr="00642918">
        <w:t xml:space="preserve">Privileges applicable to medical providers, mental health therapists, and </w:t>
      </w:r>
      <w:r w:rsidR="00291087" w:rsidRPr="00642918">
        <w:t>counselors</w:t>
      </w:r>
      <w:r w:rsidR="009566C5" w:rsidRPr="00642918">
        <w:t xml:space="preserve">; </w:t>
      </w:r>
    </w:p>
    <w:p w14:paraId="4DD0182C" w14:textId="6E475932" w:rsidR="009566C5" w:rsidRPr="00642918" w:rsidRDefault="00960183" w:rsidP="00960183">
      <w:pPr>
        <w:pStyle w:val="Heading5"/>
      </w:pPr>
      <w:r w:rsidRPr="00642918">
        <w:t>v.</w:t>
      </w:r>
      <w:r w:rsidRPr="00642918">
        <w:tab/>
      </w:r>
      <w:r w:rsidR="009566C5" w:rsidRPr="00642918">
        <w:t>Privileges applicable to sexual assault and domestic violence advocates; and</w:t>
      </w:r>
    </w:p>
    <w:p w14:paraId="6156C480" w14:textId="5F1EAED0" w:rsidR="009566C5" w:rsidRPr="003660A1" w:rsidRDefault="00960183" w:rsidP="00960183">
      <w:pPr>
        <w:pStyle w:val="Heading5"/>
      </w:pPr>
      <w:r w:rsidRPr="00642918">
        <w:t>vi.</w:t>
      </w:r>
      <w:r w:rsidRPr="00642918">
        <w:tab/>
      </w:r>
      <w:r w:rsidR="009566C5" w:rsidRPr="00642918">
        <w:t xml:space="preserve">Other legal privileges identified in </w:t>
      </w:r>
      <w:hyperlink r:id="rId18" w:history="1">
        <w:r w:rsidR="009566C5" w:rsidRPr="00642918">
          <w:rPr>
            <w:rStyle w:val="Hyperlink"/>
          </w:rPr>
          <w:t>RCW 5.60.060</w:t>
        </w:r>
      </w:hyperlink>
      <w:r w:rsidR="009566C5" w:rsidRPr="00642918">
        <w:t>.</w:t>
      </w:r>
    </w:p>
    <w:p w14:paraId="2A9017BD" w14:textId="149701AE" w:rsidR="00483127" w:rsidRPr="003660A1" w:rsidRDefault="00960183" w:rsidP="00960183">
      <w:pPr>
        <w:pStyle w:val="Heading4"/>
      </w:pPr>
      <w:r>
        <w:t>b.</w:t>
      </w:r>
      <w:r>
        <w:tab/>
      </w:r>
      <w:r w:rsidR="00483127" w:rsidRPr="00642918">
        <w:rPr>
          <w:b/>
          <w:bCs/>
        </w:rPr>
        <w:t xml:space="preserve">Prior </w:t>
      </w:r>
      <w:r w:rsidR="00642918">
        <w:rPr>
          <w:b/>
          <w:bCs/>
        </w:rPr>
        <w:t>s</w:t>
      </w:r>
      <w:r w:rsidR="00483127" w:rsidRPr="00642918">
        <w:rPr>
          <w:b/>
          <w:bCs/>
        </w:rPr>
        <w:t xml:space="preserve">exual </w:t>
      </w:r>
      <w:r w:rsidR="00642918">
        <w:rPr>
          <w:b/>
          <w:bCs/>
        </w:rPr>
        <w:t>b</w:t>
      </w:r>
      <w:r w:rsidR="00483127" w:rsidRPr="00642918">
        <w:rPr>
          <w:b/>
          <w:bCs/>
        </w:rPr>
        <w:t>ehavior</w:t>
      </w:r>
      <w:r w:rsidR="00483127" w:rsidRPr="003660A1">
        <w:t xml:space="preserve">. Questions or evidence about a </w:t>
      </w:r>
      <w:r w:rsidR="00625A65">
        <w:t>complainant</w:t>
      </w:r>
      <w:r w:rsidR="00483127" w:rsidRPr="003660A1">
        <w:t>’s sexual predisposition or prior sexual behavior are not relevant and must be excluded, unless such question or evidence:</w:t>
      </w:r>
    </w:p>
    <w:p w14:paraId="74EB6B06" w14:textId="54B4129E" w:rsidR="00483127" w:rsidRPr="003660A1" w:rsidRDefault="00960183" w:rsidP="00960183">
      <w:pPr>
        <w:pStyle w:val="Heading5"/>
      </w:pPr>
      <w:r>
        <w:t>i.</w:t>
      </w:r>
      <w:r>
        <w:tab/>
      </w:r>
      <w:r w:rsidR="00483127" w:rsidRPr="003660A1">
        <w:t xml:space="preserve">Is asked or offered to prove someone other than the </w:t>
      </w:r>
      <w:r w:rsidR="00CF7DBC">
        <w:t>respondent</w:t>
      </w:r>
      <w:r w:rsidR="00483127" w:rsidRPr="003660A1">
        <w:t xml:space="preserve"> committed the alleged misconduct; or</w:t>
      </w:r>
    </w:p>
    <w:p w14:paraId="0675BC52" w14:textId="45CBCEEA" w:rsidR="00483127" w:rsidRPr="003660A1" w:rsidRDefault="00960183" w:rsidP="00960183">
      <w:pPr>
        <w:pStyle w:val="Heading5"/>
      </w:pPr>
      <w:r>
        <w:t>ii.</w:t>
      </w:r>
      <w:r>
        <w:tab/>
      </w:r>
      <w:r w:rsidR="00483127" w:rsidRPr="003660A1">
        <w:t xml:space="preserve">Concerns specific incidents of prior sexual behavior between the </w:t>
      </w:r>
      <w:r w:rsidR="00625A65">
        <w:t>complainant</w:t>
      </w:r>
      <w:r w:rsidR="00483127" w:rsidRPr="003660A1">
        <w:t xml:space="preserve"> and the </w:t>
      </w:r>
      <w:r w:rsidR="00CF7DBC">
        <w:t>respondent</w:t>
      </w:r>
      <w:r w:rsidR="00483127" w:rsidRPr="003660A1">
        <w:t>, which are asked or offered on the issue of consent.</w:t>
      </w:r>
    </w:p>
    <w:p w14:paraId="65141DF8" w14:textId="445409D8" w:rsidR="00247997" w:rsidRPr="003660A1" w:rsidRDefault="00960183" w:rsidP="00960183">
      <w:pPr>
        <w:pStyle w:val="Heading3"/>
      </w:pPr>
      <w:r w:rsidRPr="008748D3">
        <w:t>3.</w:t>
      </w:r>
      <w:r w:rsidRPr="008748D3">
        <w:tab/>
      </w:r>
      <w:r w:rsidR="00247997" w:rsidRPr="008748D3">
        <w:t xml:space="preserve">The </w:t>
      </w:r>
      <w:r w:rsidR="00307E92" w:rsidRPr="008748D3">
        <w:t>supervisor</w:t>
      </w:r>
      <w:r w:rsidR="00247997" w:rsidRPr="008748D3">
        <w:t xml:space="preserve"> may not make an inference regarding responsibility solely on a witness’s</w:t>
      </w:r>
      <w:r w:rsidR="00247997" w:rsidRPr="003660A1">
        <w:t xml:space="preserve"> or </w:t>
      </w:r>
      <w:r w:rsidR="00642918">
        <w:t>party</w:t>
      </w:r>
      <w:r w:rsidR="00247997" w:rsidRPr="003660A1">
        <w:t>’s absence from the hearing or refusal to answer questions.</w:t>
      </w:r>
    </w:p>
    <w:p w14:paraId="520368CE" w14:textId="14C0DF9F" w:rsidR="009B3925" w:rsidRPr="003660A1" w:rsidRDefault="00960183" w:rsidP="00960183">
      <w:pPr>
        <w:pStyle w:val="Heading3"/>
      </w:pPr>
      <w:r>
        <w:t>4.</w:t>
      </w:r>
      <w:r>
        <w:tab/>
      </w:r>
      <w:r w:rsidR="00483127" w:rsidRPr="003660A1">
        <w:t xml:space="preserve">In a proceeding involving allegations of </w:t>
      </w:r>
      <w:r w:rsidR="00625A65">
        <w:t>sex-based harassment</w:t>
      </w:r>
      <w:r w:rsidR="00172083" w:rsidRPr="003660A1">
        <w:t xml:space="preserve"> in which a student is a </w:t>
      </w:r>
      <w:r w:rsidR="00625A65">
        <w:t>complainant</w:t>
      </w:r>
      <w:r w:rsidR="00483127" w:rsidRPr="003660A1">
        <w:t>, t</w:t>
      </w:r>
      <w:r w:rsidR="009B3925" w:rsidRPr="003660A1">
        <w:t xml:space="preserve">he </w:t>
      </w:r>
      <w:r w:rsidR="00307E92">
        <w:t>supervisor</w:t>
      </w:r>
      <w:r w:rsidR="009B3925" w:rsidRPr="003660A1">
        <w:t xml:space="preserve"> shall review</w:t>
      </w:r>
      <w:r w:rsidR="0004189B" w:rsidRPr="003660A1">
        <w:t>,</w:t>
      </w:r>
      <w:r w:rsidR="00F409DE" w:rsidRPr="003660A1">
        <w:t xml:space="preserve"> in advance</w:t>
      </w:r>
      <w:r w:rsidR="0004189B" w:rsidRPr="003660A1">
        <w:t>,</w:t>
      </w:r>
      <w:r w:rsidR="009B3925" w:rsidRPr="003660A1">
        <w:t xml:space="preserve"> all questions</w:t>
      </w:r>
      <w:r w:rsidR="00F409DE" w:rsidRPr="003660A1">
        <w:t xml:space="preserve"> the </w:t>
      </w:r>
      <w:r w:rsidR="00CF7DBC">
        <w:t>complaint</w:t>
      </w:r>
      <w:r w:rsidR="00F409DE" w:rsidRPr="003660A1">
        <w:t xml:space="preserve"> and </w:t>
      </w:r>
      <w:r w:rsidR="00CF7DBC">
        <w:t>respondent</w:t>
      </w:r>
      <w:r w:rsidR="00F409DE" w:rsidRPr="003660A1">
        <w:t xml:space="preserve"> propose to ask during the hearing </w:t>
      </w:r>
      <w:r w:rsidR="009B3925" w:rsidRPr="003660A1">
        <w:t xml:space="preserve">for relevance </w:t>
      </w:r>
      <w:r w:rsidR="00F409DE" w:rsidRPr="003660A1">
        <w:t>and whether the questions</w:t>
      </w:r>
      <w:r w:rsidR="00D33209" w:rsidRPr="003660A1">
        <w:t xml:space="preserve"> </w:t>
      </w:r>
      <w:r w:rsidR="00D33209" w:rsidRPr="003660A1">
        <w:lastRenderedPageBreak/>
        <w:t>seek other</w:t>
      </w:r>
      <w:r w:rsidR="00F409DE" w:rsidRPr="003660A1">
        <w:t>wise</w:t>
      </w:r>
      <w:r w:rsidR="00D33209" w:rsidRPr="003660A1">
        <w:t xml:space="preserve"> impermissible evidence</w:t>
      </w:r>
      <w:r w:rsidR="00F409DE" w:rsidRPr="003660A1">
        <w:t>.</w:t>
      </w:r>
      <w:r w:rsidR="00CF7DBC">
        <w:t xml:space="preserve"> </w:t>
      </w:r>
      <w:r w:rsidR="00F409DE" w:rsidRPr="003660A1">
        <w:t xml:space="preserve">The </w:t>
      </w:r>
      <w:r w:rsidR="00307E92">
        <w:t>supervisor</w:t>
      </w:r>
      <w:r w:rsidR="009B3925" w:rsidRPr="003660A1">
        <w:t xml:space="preserve"> shall explain on the record </w:t>
      </w:r>
      <w:r w:rsidR="00F409DE" w:rsidRPr="003660A1">
        <w:t xml:space="preserve">the </w:t>
      </w:r>
      <w:r w:rsidR="009B3925" w:rsidRPr="003660A1">
        <w:t>reasons for excluding any question</w:t>
      </w:r>
      <w:r w:rsidR="00F409DE" w:rsidRPr="003660A1">
        <w:t xml:space="preserve">s. </w:t>
      </w:r>
      <w:r w:rsidR="00D33209" w:rsidRPr="003660A1">
        <w:t>If a question is excluded</w:t>
      </w:r>
      <w:r w:rsidR="00247997" w:rsidRPr="003660A1">
        <w:t xml:space="preserve"> as unclear </w:t>
      </w:r>
      <w:r w:rsidR="00247997" w:rsidRPr="00642918">
        <w:t>or harassing</w:t>
      </w:r>
      <w:r w:rsidR="00D33209" w:rsidRPr="00642918">
        <w:t xml:space="preserve">, the </w:t>
      </w:r>
      <w:r w:rsidR="00642918" w:rsidRPr="00642918">
        <w:t>party</w:t>
      </w:r>
      <w:r w:rsidR="00D33209" w:rsidRPr="00642918">
        <w:t xml:space="preserve"> propo</w:t>
      </w:r>
      <w:r w:rsidR="00291087" w:rsidRPr="00642918">
        <w:t>sing</w:t>
      </w:r>
      <w:r w:rsidR="00D33209" w:rsidRPr="00642918">
        <w:t xml:space="preserve"> the questio</w:t>
      </w:r>
      <w:r w:rsidR="00247997" w:rsidRPr="00642918">
        <w:t>n shall have an opportunity to clarify or revise the question.</w:t>
      </w:r>
      <w:r w:rsidR="00CF7DBC" w:rsidRPr="00642918">
        <w:t xml:space="preserve"> </w:t>
      </w:r>
      <w:r w:rsidR="00965D4E" w:rsidRPr="00642918">
        <w:t xml:space="preserve">If questions are submitted for review in writing, the </w:t>
      </w:r>
      <w:r w:rsidR="007C53F7" w:rsidRPr="00642918">
        <w:t>written questions shall be retained as part of the hearing record.</w:t>
      </w:r>
    </w:p>
    <w:p w14:paraId="6FE306A6" w14:textId="23557E93" w:rsidR="00247997" w:rsidRPr="003660A1" w:rsidRDefault="00960183" w:rsidP="00960183">
      <w:pPr>
        <w:pStyle w:val="Heading3"/>
      </w:pPr>
      <w:r>
        <w:t>5.</w:t>
      </w:r>
      <w:r>
        <w:tab/>
      </w:r>
      <w:r w:rsidR="00247997" w:rsidRPr="003660A1">
        <w:t xml:space="preserve">In a proceeding involving allegations of </w:t>
      </w:r>
      <w:r w:rsidR="00625A65">
        <w:t>sex-based harassment</w:t>
      </w:r>
      <w:r w:rsidR="00172083" w:rsidRPr="003660A1">
        <w:t xml:space="preserve"> in which a student is the </w:t>
      </w:r>
      <w:r w:rsidR="00625A65">
        <w:t>complainant</w:t>
      </w:r>
      <w:r w:rsidR="00247997" w:rsidRPr="003660A1">
        <w:t xml:space="preserve">, all questioning of witnesses on behalf of the </w:t>
      </w:r>
      <w:r w:rsidR="00625A65">
        <w:t>complainant</w:t>
      </w:r>
      <w:r w:rsidR="00247997" w:rsidRPr="003660A1">
        <w:t xml:space="preserve"> and </w:t>
      </w:r>
      <w:r w:rsidR="00CF7DBC">
        <w:t>respondent</w:t>
      </w:r>
      <w:r w:rsidR="00B42D12" w:rsidRPr="003660A1">
        <w:t xml:space="preserve"> </w:t>
      </w:r>
      <w:r w:rsidR="00B42D12" w:rsidRPr="00307E92">
        <w:t xml:space="preserve">shall be conducted </w:t>
      </w:r>
      <w:r w:rsidR="00FF6217" w:rsidRPr="00307E92">
        <w:t xml:space="preserve">either </w:t>
      </w:r>
      <w:r w:rsidR="00B42D12" w:rsidRPr="00307E92">
        <w:t>by</w:t>
      </w:r>
      <w:r w:rsidR="00B42D12" w:rsidRPr="00307E92">
        <w:rPr>
          <w:i/>
        </w:rPr>
        <w:t xml:space="preserve"> </w:t>
      </w:r>
      <w:r w:rsidR="00247997" w:rsidRPr="00307E92">
        <w:t>their</w:t>
      </w:r>
      <w:r w:rsidR="00B42D12" w:rsidRPr="00307E92">
        <w:t xml:space="preserve"> respective </w:t>
      </w:r>
      <w:r w:rsidR="00642918" w:rsidRPr="00307E92">
        <w:t>advisor</w:t>
      </w:r>
      <w:r w:rsidR="00247997" w:rsidRPr="00307E92">
        <w:t>s</w:t>
      </w:r>
      <w:r w:rsidR="00B42D12" w:rsidRPr="00307E92">
        <w:t xml:space="preserve"> or the </w:t>
      </w:r>
      <w:r w:rsidR="00307E92" w:rsidRPr="00307E92">
        <w:t>supervisor</w:t>
      </w:r>
      <w:r w:rsidR="00247997" w:rsidRPr="00307E92">
        <w:t>.</w:t>
      </w:r>
      <w:r w:rsidR="00CF7DBC" w:rsidRPr="00307E92">
        <w:t xml:space="preserve"> </w:t>
      </w:r>
      <w:r w:rsidR="00B42D12" w:rsidRPr="00307E92">
        <w:t>Determination of</w:t>
      </w:r>
      <w:r w:rsidR="00B42D12" w:rsidRPr="003660A1">
        <w:t xml:space="preserve"> who will conduct the questioning is at the discretion of the </w:t>
      </w:r>
      <w:r w:rsidR="00307E92">
        <w:t>supervisor</w:t>
      </w:r>
      <w:r w:rsidR="00B42D12" w:rsidRPr="003660A1">
        <w:t>.</w:t>
      </w:r>
      <w:r w:rsidR="00CF7DBC">
        <w:t xml:space="preserve"> </w:t>
      </w:r>
    </w:p>
    <w:p w14:paraId="1EFBF940" w14:textId="0D44DC22" w:rsidR="009B3925" w:rsidRPr="003660A1" w:rsidRDefault="00B252F5" w:rsidP="00960183">
      <w:pPr>
        <w:pStyle w:val="Heading2"/>
      </w:pPr>
      <w:r>
        <w:t>H</w:t>
      </w:r>
      <w:r w:rsidR="00960183">
        <w:t>.</w:t>
      </w:r>
      <w:r w:rsidR="00960183">
        <w:tab/>
      </w:r>
      <w:r w:rsidR="00960183" w:rsidRPr="003660A1">
        <w:t>INITIAL ORDER</w:t>
      </w:r>
    </w:p>
    <w:p w14:paraId="4395C678" w14:textId="7E70F3AE" w:rsidR="009B3925" w:rsidRPr="008748D3" w:rsidRDefault="00960183" w:rsidP="00960183">
      <w:pPr>
        <w:pStyle w:val="Heading3"/>
      </w:pPr>
      <w:r w:rsidRPr="008748D3">
        <w:t>1.</w:t>
      </w:r>
      <w:r w:rsidRPr="008748D3">
        <w:tab/>
      </w:r>
      <w:r w:rsidR="009B3925" w:rsidRPr="008748D3">
        <w:t xml:space="preserve">The </w:t>
      </w:r>
      <w:r w:rsidR="00307E92" w:rsidRPr="008748D3">
        <w:t>supervisor</w:t>
      </w:r>
      <w:r w:rsidR="009B3925" w:rsidRPr="008748D3">
        <w:t xml:space="preserve"> will be responsible for drafting an </w:t>
      </w:r>
      <w:r w:rsidR="00642918" w:rsidRPr="008748D3">
        <w:t>i</w:t>
      </w:r>
      <w:r w:rsidR="009B3925" w:rsidRPr="008748D3">
        <w:t xml:space="preserve">nitial </w:t>
      </w:r>
      <w:r w:rsidR="00642918" w:rsidRPr="008748D3">
        <w:t>o</w:t>
      </w:r>
      <w:r w:rsidR="009B3925" w:rsidRPr="008748D3">
        <w:t>rder that:</w:t>
      </w:r>
    </w:p>
    <w:p w14:paraId="63EBC89A" w14:textId="4E30EFAB" w:rsidR="009B3925" w:rsidRPr="003660A1" w:rsidRDefault="002630FE" w:rsidP="00960183">
      <w:pPr>
        <w:pStyle w:val="Heading4"/>
      </w:pPr>
      <w:r>
        <w:t>a</w:t>
      </w:r>
      <w:r w:rsidR="00960183">
        <w:t>.</w:t>
      </w:r>
      <w:r w:rsidR="00960183">
        <w:tab/>
      </w:r>
      <w:r w:rsidR="009B3925" w:rsidRPr="003660A1">
        <w:t xml:space="preserve">Identifies the allegations of </w:t>
      </w:r>
      <w:r w:rsidR="00CF7DBC">
        <w:t>sex discrimination</w:t>
      </w:r>
      <w:r w:rsidR="009B3925" w:rsidRPr="003660A1">
        <w:t>;</w:t>
      </w:r>
    </w:p>
    <w:p w14:paraId="677BA212" w14:textId="7F0F8D97" w:rsidR="009B3925" w:rsidRPr="003660A1" w:rsidRDefault="002630FE" w:rsidP="00960183">
      <w:pPr>
        <w:pStyle w:val="Heading4"/>
      </w:pPr>
      <w:r>
        <w:t>b</w:t>
      </w:r>
      <w:r w:rsidR="00960183">
        <w:t>.</w:t>
      </w:r>
      <w:r w:rsidR="00960183">
        <w:tab/>
      </w:r>
      <w:r w:rsidR="009B3925" w:rsidRPr="003660A1">
        <w:t xml:space="preserve">Describes the grievance and disciplinary procedures, starting with </w:t>
      </w:r>
      <w:r w:rsidR="00FF6217">
        <w:t xml:space="preserve">the </w:t>
      </w:r>
      <w:r w:rsidR="00B252F5">
        <w:t>college</w:t>
      </w:r>
      <w:r w:rsidR="00FF6217">
        <w:t>’s receipt</w:t>
      </w:r>
      <w:r w:rsidR="00FF6217" w:rsidRPr="003660A1">
        <w:t xml:space="preserve"> </w:t>
      </w:r>
      <w:r w:rsidR="009B3925" w:rsidRPr="003660A1">
        <w:t xml:space="preserve">of the </w:t>
      </w:r>
      <w:r w:rsidR="00CF7DBC">
        <w:t>complaint</w:t>
      </w:r>
      <w:r w:rsidR="009B3925" w:rsidRPr="003660A1">
        <w:t xml:space="preserve"> through the determination of responsibility, including notices to parties, interviews with witnesses and parties, site visits, methods used to gather evidence, and hearings held;</w:t>
      </w:r>
    </w:p>
    <w:p w14:paraId="0D057C7C" w14:textId="2D2E0D0E" w:rsidR="009B3925" w:rsidRPr="003660A1" w:rsidRDefault="002630FE" w:rsidP="00960183">
      <w:pPr>
        <w:pStyle w:val="Heading4"/>
      </w:pPr>
      <w:r>
        <w:t>c</w:t>
      </w:r>
      <w:r w:rsidR="00960183">
        <w:t>.</w:t>
      </w:r>
      <w:r w:rsidR="00960183">
        <w:tab/>
      </w:r>
      <w:r w:rsidR="009B3925" w:rsidRPr="003660A1">
        <w:t>Makes findings of fact supporting the determination of responsibility;</w:t>
      </w:r>
    </w:p>
    <w:p w14:paraId="268562C3" w14:textId="71453BF8" w:rsidR="009B3925" w:rsidRPr="003660A1" w:rsidRDefault="002630FE" w:rsidP="00960183">
      <w:pPr>
        <w:pStyle w:val="Heading4"/>
      </w:pPr>
      <w:r>
        <w:t>d</w:t>
      </w:r>
      <w:r w:rsidR="00960183">
        <w:t>.</w:t>
      </w:r>
      <w:r w:rsidR="00960183">
        <w:tab/>
      </w:r>
      <w:r w:rsidR="009B3925" w:rsidRPr="003660A1">
        <w:t xml:space="preserve">Reaches conclusions as to whether the facts establish whether the </w:t>
      </w:r>
      <w:r w:rsidR="00CF7DBC">
        <w:t>respondent</w:t>
      </w:r>
      <w:r w:rsidR="009B3925" w:rsidRPr="003660A1">
        <w:t xml:space="preserve"> is responsible for engaging in </w:t>
      </w:r>
      <w:r w:rsidR="00CF7DBC">
        <w:t>sex discrimination</w:t>
      </w:r>
      <w:r w:rsidR="00907C7A" w:rsidRPr="003660A1">
        <w:t xml:space="preserve"> </w:t>
      </w:r>
      <w:r w:rsidR="009B3925" w:rsidRPr="003660A1">
        <w:t>in violation of Title IX;</w:t>
      </w:r>
    </w:p>
    <w:p w14:paraId="662A91C7" w14:textId="7E3B9894" w:rsidR="009B3925" w:rsidRPr="003660A1" w:rsidRDefault="002630FE" w:rsidP="00960183">
      <w:pPr>
        <w:pStyle w:val="Heading4"/>
      </w:pPr>
      <w:r>
        <w:t>e</w:t>
      </w:r>
      <w:r w:rsidR="00960183">
        <w:t>.</w:t>
      </w:r>
      <w:r w:rsidR="00960183">
        <w:tab/>
      </w:r>
      <w:r w:rsidR="009B3925" w:rsidRPr="003660A1">
        <w:t xml:space="preserve">Contains a statement of, and rationale for, the </w:t>
      </w:r>
      <w:r w:rsidR="008748D3">
        <w:t>supervisor’s</w:t>
      </w:r>
      <w:r w:rsidR="009B3925" w:rsidRPr="003660A1">
        <w:t xml:space="preserve"> determination of responsibility for each allegation;</w:t>
      </w:r>
    </w:p>
    <w:p w14:paraId="0A276F50" w14:textId="0B68CF5D" w:rsidR="009B3925" w:rsidRPr="003660A1" w:rsidRDefault="002630FE" w:rsidP="002630FE">
      <w:pPr>
        <w:pStyle w:val="Heading4"/>
      </w:pPr>
      <w:r>
        <w:t>f</w:t>
      </w:r>
      <w:r w:rsidR="00960183">
        <w:t>.</w:t>
      </w:r>
      <w:r w:rsidR="00960183">
        <w:tab/>
      </w:r>
      <w:r w:rsidR="009B3925" w:rsidRPr="003660A1">
        <w:t xml:space="preserve">Describes </w:t>
      </w:r>
      <w:r w:rsidR="00FF6217">
        <w:t>the</w:t>
      </w:r>
      <w:r w:rsidR="00FF6217" w:rsidRPr="003660A1">
        <w:t xml:space="preserve"> </w:t>
      </w:r>
      <w:r w:rsidR="009B3925" w:rsidRPr="003660A1">
        <w:t xml:space="preserve">disciplinary sanction or conditions imposed against the </w:t>
      </w:r>
      <w:r w:rsidR="00CF7DBC">
        <w:t>respondent</w:t>
      </w:r>
      <w:r w:rsidR="009B3925" w:rsidRPr="003660A1">
        <w:t>, if any;</w:t>
      </w:r>
    </w:p>
    <w:p w14:paraId="25E618BF" w14:textId="4AAE3C62" w:rsidR="009B3925" w:rsidRPr="003660A1" w:rsidRDefault="002630FE" w:rsidP="00960183">
      <w:pPr>
        <w:pStyle w:val="Heading4"/>
      </w:pPr>
      <w:r>
        <w:t>g</w:t>
      </w:r>
      <w:r w:rsidR="00960183">
        <w:t>.</w:t>
      </w:r>
      <w:r w:rsidR="00960183">
        <w:tab/>
      </w:r>
      <w:r w:rsidR="009B3925" w:rsidRPr="003660A1">
        <w:t xml:space="preserve">Describes to what extent, if any, </w:t>
      </w:r>
      <w:r w:rsidR="00625A65">
        <w:t>complainant</w:t>
      </w:r>
      <w:r w:rsidR="009B3925" w:rsidRPr="003660A1">
        <w:t xml:space="preserve"> is entitled to remedies designed to restore or preserve </w:t>
      </w:r>
      <w:r w:rsidR="00625A65">
        <w:t>complainant</w:t>
      </w:r>
      <w:r w:rsidR="009B3925" w:rsidRPr="003660A1">
        <w:t xml:space="preserve">’s equal access to the </w:t>
      </w:r>
      <w:r w:rsidR="00B252F5">
        <w:t>college</w:t>
      </w:r>
      <w:r w:rsidR="00B42D12" w:rsidRPr="003660A1">
        <w:t>’s</w:t>
      </w:r>
      <w:r w:rsidR="009B3925" w:rsidRPr="003660A1">
        <w:t xml:space="preserve"> programs or activities; and</w:t>
      </w:r>
    </w:p>
    <w:p w14:paraId="07501236" w14:textId="2FF97EFA" w:rsidR="009B3925" w:rsidRPr="003660A1" w:rsidRDefault="002630FE" w:rsidP="00960183">
      <w:pPr>
        <w:pStyle w:val="Heading4"/>
      </w:pPr>
      <w:r>
        <w:t>h</w:t>
      </w:r>
      <w:r w:rsidR="00960183">
        <w:t>.</w:t>
      </w:r>
      <w:r w:rsidR="00960183">
        <w:tab/>
      </w:r>
      <w:r w:rsidR="009B3925" w:rsidRPr="003660A1">
        <w:t xml:space="preserve">Describes the process for appealing the </w:t>
      </w:r>
      <w:r w:rsidR="00642918">
        <w:t>i</w:t>
      </w:r>
      <w:r w:rsidR="009B3925" w:rsidRPr="003660A1">
        <w:t xml:space="preserve">nitial </w:t>
      </w:r>
      <w:r w:rsidR="00642918">
        <w:t>o</w:t>
      </w:r>
      <w:r w:rsidR="009B3925" w:rsidRPr="003660A1">
        <w:t xml:space="preserve">rder to the </w:t>
      </w:r>
      <w:r w:rsidR="008748D3">
        <w:t>president</w:t>
      </w:r>
      <w:r w:rsidR="009B3925" w:rsidRPr="003660A1">
        <w:t>.</w:t>
      </w:r>
    </w:p>
    <w:p w14:paraId="25D74549" w14:textId="20B24508" w:rsidR="00DA49BA" w:rsidRPr="003660A1" w:rsidRDefault="00960183" w:rsidP="00960183">
      <w:pPr>
        <w:pStyle w:val="Heading3"/>
      </w:pPr>
      <w:r>
        <w:t>2.</w:t>
      </w:r>
      <w:r w:rsidR="00DA49BA" w:rsidRPr="003660A1">
        <w:tab/>
        <w:t xml:space="preserve">The </w:t>
      </w:r>
      <w:r w:rsidR="008748D3">
        <w:t>i</w:t>
      </w:r>
      <w:r w:rsidR="00DA49BA" w:rsidRPr="003660A1">
        <w:t xml:space="preserve">nitial </w:t>
      </w:r>
      <w:r w:rsidR="008748D3">
        <w:t>o</w:t>
      </w:r>
      <w:r w:rsidR="00DA49BA" w:rsidRPr="003660A1">
        <w:t xml:space="preserve">rder shall be served on the </w:t>
      </w:r>
      <w:r w:rsidR="00D25779">
        <w:t>parties</w:t>
      </w:r>
      <w:r w:rsidR="00DA49BA" w:rsidRPr="003660A1">
        <w:t xml:space="preserve"> and the </w:t>
      </w:r>
      <w:r w:rsidR="00CF7DBC">
        <w:t>Title IX coordinator</w:t>
      </w:r>
      <w:r w:rsidR="00DA49BA" w:rsidRPr="003660A1">
        <w:t>.</w:t>
      </w:r>
      <w:r w:rsidR="00CF7DBC">
        <w:t xml:space="preserve"> </w:t>
      </w:r>
      <w:r w:rsidR="00DA49BA" w:rsidRPr="003660A1">
        <w:t xml:space="preserve">If the case involves allegations of </w:t>
      </w:r>
      <w:r w:rsidR="00625A65">
        <w:t>sex-based harassment</w:t>
      </w:r>
      <w:r w:rsidR="00DA49BA" w:rsidRPr="003660A1">
        <w:t xml:space="preserve">, the </w:t>
      </w:r>
      <w:r w:rsidR="00607B0B">
        <w:t>i</w:t>
      </w:r>
      <w:r w:rsidR="00DA49BA" w:rsidRPr="003660A1">
        <w:t xml:space="preserve">nitial </w:t>
      </w:r>
      <w:r w:rsidR="00607B0B">
        <w:t>o</w:t>
      </w:r>
      <w:r w:rsidR="00DA49BA" w:rsidRPr="003660A1">
        <w:t xml:space="preserve">rder shall be served on the </w:t>
      </w:r>
      <w:r w:rsidR="00D25779">
        <w:t>parties</w:t>
      </w:r>
      <w:r w:rsidR="00DA49BA" w:rsidRPr="003660A1">
        <w:t xml:space="preserve"> and the </w:t>
      </w:r>
      <w:r w:rsidR="00CF7DBC">
        <w:t>Title IX coordinator</w:t>
      </w:r>
      <w:r w:rsidR="00DA49BA" w:rsidRPr="003660A1">
        <w:t xml:space="preserve"> simultaneously.</w:t>
      </w:r>
    </w:p>
    <w:p w14:paraId="4E89C6AE" w14:textId="7A0E5403" w:rsidR="009B3925" w:rsidRPr="003660A1" w:rsidRDefault="00B252F5" w:rsidP="00960183">
      <w:pPr>
        <w:pStyle w:val="Heading2"/>
      </w:pPr>
      <w:r>
        <w:t>I</w:t>
      </w:r>
      <w:r w:rsidR="00960183">
        <w:t>.</w:t>
      </w:r>
      <w:r w:rsidR="00960183">
        <w:tab/>
      </w:r>
      <w:r w:rsidR="00960183" w:rsidRPr="003660A1">
        <w:t>APPEALS</w:t>
      </w:r>
    </w:p>
    <w:p w14:paraId="1697CDCA" w14:textId="7C687775" w:rsidR="00B26F93" w:rsidRPr="003660A1" w:rsidRDefault="00960183" w:rsidP="00960183">
      <w:pPr>
        <w:pStyle w:val="Heading3"/>
      </w:pPr>
      <w:r>
        <w:t>1</w:t>
      </w:r>
      <w:r w:rsidR="002F4DA6" w:rsidRPr="003660A1">
        <w:t xml:space="preserve">. </w:t>
      </w:r>
      <w:r w:rsidR="00DA49BA" w:rsidRPr="003660A1">
        <w:tab/>
      </w:r>
      <w:r w:rsidR="000D5072" w:rsidRPr="003660A1">
        <w:t xml:space="preserve">All </w:t>
      </w:r>
      <w:r w:rsidR="00D25779">
        <w:t>pa</w:t>
      </w:r>
      <w:r w:rsidR="00D25779" w:rsidRPr="008748D3">
        <w:t>rties</w:t>
      </w:r>
      <w:r w:rsidR="00B26F93" w:rsidRPr="008748D3">
        <w:t xml:space="preserve">, including the </w:t>
      </w:r>
      <w:r w:rsidR="00307E92" w:rsidRPr="008748D3">
        <w:t>executive director of human resources or designee</w:t>
      </w:r>
      <w:r w:rsidR="00B26F93" w:rsidRPr="008748D3">
        <w:t xml:space="preserve"> </w:t>
      </w:r>
      <w:r w:rsidR="000D5072" w:rsidRPr="008748D3">
        <w:t xml:space="preserve">in their </w:t>
      </w:r>
      <w:r w:rsidR="000D5072" w:rsidRPr="003660A1">
        <w:t xml:space="preserve">capacity </w:t>
      </w:r>
      <w:r w:rsidR="00B26F93" w:rsidRPr="003660A1">
        <w:t xml:space="preserve">as a representative of the </w:t>
      </w:r>
      <w:r w:rsidR="00B252F5">
        <w:t>college</w:t>
      </w:r>
      <w:r w:rsidR="00B26F93" w:rsidRPr="003660A1">
        <w:t>,</w:t>
      </w:r>
      <w:r w:rsidR="009B3925" w:rsidRPr="003660A1">
        <w:t xml:space="preserve"> have the right to appeal from the determination of responsibility and/or from </w:t>
      </w:r>
      <w:r w:rsidR="0027077C" w:rsidRPr="003660A1">
        <w:t xml:space="preserve">a </w:t>
      </w:r>
      <w:r w:rsidR="009B3925" w:rsidRPr="003660A1">
        <w:t xml:space="preserve">dismissal, in whole or part, of a </w:t>
      </w:r>
      <w:r w:rsidR="00CF7DBC">
        <w:t>complaint</w:t>
      </w:r>
      <w:r w:rsidR="000D5072" w:rsidRPr="003660A1">
        <w:t xml:space="preserve"> during the investigative or hearing process</w:t>
      </w:r>
      <w:r w:rsidR="009B3925" w:rsidRPr="003660A1">
        <w:t>.</w:t>
      </w:r>
      <w:r w:rsidR="00CF7DBC">
        <w:t xml:space="preserve"> </w:t>
      </w:r>
      <w:r w:rsidR="002F4DA6" w:rsidRPr="003660A1">
        <w:t xml:space="preserve">Appeals must be in writing </w:t>
      </w:r>
      <w:r w:rsidR="00D47E0B" w:rsidRPr="003660A1">
        <w:t xml:space="preserve">and filed </w:t>
      </w:r>
      <w:r w:rsidR="002F4DA6" w:rsidRPr="003660A1">
        <w:t xml:space="preserve">with the </w:t>
      </w:r>
      <w:r w:rsidR="008748D3" w:rsidRPr="008748D3">
        <w:rPr>
          <w:iCs/>
        </w:rPr>
        <w:t>president</w:t>
      </w:r>
      <w:r w:rsidR="002F4DA6" w:rsidRPr="003660A1">
        <w:rPr>
          <w:i/>
        </w:rPr>
        <w:t xml:space="preserve"> </w:t>
      </w:r>
      <w:r w:rsidR="002F4DA6" w:rsidRPr="003660A1">
        <w:t xml:space="preserve">within 21 </w:t>
      </w:r>
      <w:r w:rsidR="00946508" w:rsidRPr="00607B0B">
        <w:t>calendar</w:t>
      </w:r>
      <w:r w:rsidR="00946508">
        <w:t xml:space="preserve"> </w:t>
      </w:r>
      <w:r w:rsidR="002F4DA6" w:rsidRPr="003660A1">
        <w:t xml:space="preserve">days of service of the </w:t>
      </w:r>
      <w:r w:rsidR="00607B0B">
        <w:t>i</w:t>
      </w:r>
      <w:r w:rsidR="002F4DA6" w:rsidRPr="003660A1">
        <w:t xml:space="preserve">nitial </w:t>
      </w:r>
      <w:r w:rsidR="00607B0B">
        <w:t>o</w:t>
      </w:r>
      <w:r w:rsidR="002F4DA6" w:rsidRPr="003660A1">
        <w:t xml:space="preserve">rder or </w:t>
      </w:r>
      <w:r w:rsidR="00607B0B">
        <w:t>n</w:t>
      </w:r>
      <w:r w:rsidR="002F4DA6" w:rsidRPr="003660A1">
        <w:t xml:space="preserve">otice of </w:t>
      </w:r>
      <w:r w:rsidR="00607B0B">
        <w:t>d</w:t>
      </w:r>
      <w:r w:rsidR="002F4DA6" w:rsidRPr="003660A1">
        <w:t>ismissal.</w:t>
      </w:r>
      <w:r w:rsidR="00CF7DBC">
        <w:t xml:space="preserve"> </w:t>
      </w:r>
      <w:r w:rsidR="00D47E0B" w:rsidRPr="003660A1">
        <w:t>A</w:t>
      </w:r>
      <w:r w:rsidR="002F4DA6" w:rsidRPr="003660A1">
        <w:t xml:space="preserve">ppeals must identify the specific findings of fact and/or conclusions of law in the </w:t>
      </w:r>
      <w:r w:rsidR="00607B0B">
        <w:t>i</w:t>
      </w:r>
      <w:r w:rsidR="002F4DA6" w:rsidRPr="003660A1">
        <w:t xml:space="preserve">nitial </w:t>
      </w:r>
      <w:r w:rsidR="00607B0B">
        <w:t>o</w:t>
      </w:r>
      <w:r w:rsidR="002F4DA6" w:rsidRPr="003660A1">
        <w:t xml:space="preserve">rder or dismissal </w:t>
      </w:r>
      <w:r w:rsidR="00D47E0B" w:rsidRPr="003660A1">
        <w:t>being</w:t>
      </w:r>
      <w:r w:rsidR="002F4DA6" w:rsidRPr="003660A1">
        <w:t xml:space="preserve"> challeng</w:t>
      </w:r>
      <w:r w:rsidR="00D47E0B" w:rsidRPr="003660A1">
        <w:t>ed</w:t>
      </w:r>
      <w:r w:rsidR="002F4DA6" w:rsidRPr="003660A1">
        <w:t xml:space="preserve"> and must contain argument as to why the appeal should be granted.</w:t>
      </w:r>
      <w:r w:rsidR="00CF7DBC">
        <w:t xml:space="preserve"> </w:t>
      </w:r>
      <w:r w:rsidR="002F4DA6" w:rsidRPr="003660A1">
        <w:t xml:space="preserve">Failure to file a timely appeal constitutes a waiver of the right to appeal and the </w:t>
      </w:r>
      <w:r w:rsidR="00607B0B">
        <w:t>i</w:t>
      </w:r>
      <w:r w:rsidR="002F4DA6" w:rsidRPr="003660A1">
        <w:t xml:space="preserve">nitial </w:t>
      </w:r>
      <w:r w:rsidR="00607B0B">
        <w:t>o</w:t>
      </w:r>
      <w:r w:rsidR="002F4DA6" w:rsidRPr="003660A1">
        <w:t>rder or dismissal shall be deemed final.</w:t>
      </w:r>
    </w:p>
    <w:p w14:paraId="58BE8A49" w14:textId="0AFD8D82" w:rsidR="00B26F93" w:rsidRPr="003660A1" w:rsidRDefault="00960183" w:rsidP="00960183">
      <w:pPr>
        <w:pStyle w:val="Heading3"/>
      </w:pPr>
      <w:r>
        <w:t>2</w:t>
      </w:r>
      <w:r w:rsidR="002F4DA6" w:rsidRPr="003660A1">
        <w:t xml:space="preserve">. </w:t>
      </w:r>
      <w:r w:rsidR="00DA49BA" w:rsidRPr="003660A1">
        <w:tab/>
      </w:r>
      <w:r w:rsidR="004E09C4" w:rsidRPr="003660A1">
        <w:t>Upon receiving a timely appeal, t</w:t>
      </w:r>
      <w:r w:rsidR="004E09C4" w:rsidRPr="008748D3">
        <w:t xml:space="preserve">he </w:t>
      </w:r>
      <w:r w:rsidR="008748D3" w:rsidRPr="008748D3">
        <w:t>president</w:t>
      </w:r>
      <w:r w:rsidR="004E09C4" w:rsidRPr="003660A1">
        <w:t xml:space="preserve"> will serve a copy of the </w:t>
      </w:r>
      <w:r w:rsidR="00D47E0B" w:rsidRPr="003660A1">
        <w:t>appeal</w:t>
      </w:r>
      <w:r w:rsidR="004E09C4" w:rsidRPr="003660A1">
        <w:t xml:space="preserve"> on </w:t>
      </w:r>
      <w:r w:rsidR="00D47E0B" w:rsidRPr="003660A1">
        <w:t xml:space="preserve">all non-appealing </w:t>
      </w:r>
      <w:r w:rsidR="00D25779">
        <w:t>parties</w:t>
      </w:r>
      <w:r w:rsidR="004E09C4" w:rsidRPr="003660A1">
        <w:t xml:space="preserve">, who will have 10 </w:t>
      </w:r>
      <w:r w:rsidR="00E16877" w:rsidRPr="00607B0B">
        <w:t>business</w:t>
      </w:r>
      <w:r w:rsidR="00E16877" w:rsidRPr="003660A1">
        <w:t xml:space="preserve"> </w:t>
      </w:r>
      <w:r w:rsidR="004E09C4" w:rsidRPr="003660A1">
        <w:t>days from the date of service to submit written responses to</w:t>
      </w:r>
      <w:r w:rsidR="008748D3">
        <w:rPr>
          <w:i/>
        </w:rPr>
        <w:t xml:space="preserve"> </w:t>
      </w:r>
      <w:r w:rsidR="008748D3" w:rsidRPr="008748D3">
        <w:rPr>
          <w:iCs/>
        </w:rPr>
        <w:t xml:space="preserve">the president </w:t>
      </w:r>
      <w:r w:rsidR="008650BF" w:rsidRPr="003660A1">
        <w:t>addressing issues raised in the appeal.</w:t>
      </w:r>
      <w:r w:rsidR="00CF7DBC">
        <w:t xml:space="preserve"> </w:t>
      </w:r>
      <w:r w:rsidR="004E09C4" w:rsidRPr="003660A1">
        <w:t>Failure to file a timely response constitutes a waiver of the right to participate in the appeal.</w:t>
      </w:r>
      <w:r w:rsidR="00CF7DBC">
        <w:t xml:space="preserve"> </w:t>
      </w:r>
      <w:r w:rsidR="004E09C4" w:rsidRPr="003660A1">
        <w:t xml:space="preserve">Upon </w:t>
      </w:r>
      <w:r w:rsidR="004E09C4" w:rsidRPr="008748D3">
        <w:lastRenderedPageBreak/>
        <w:t xml:space="preserve">receipt of written responses, </w:t>
      </w:r>
      <w:r w:rsidR="008748D3" w:rsidRPr="008748D3">
        <w:t xml:space="preserve">the president </w:t>
      </w:r>
      <w:r w:rsidR="004E09C4" w:rsidRPr="003660A1">
        <w:t xml:space="preserve">shall serve copies of the responses to the </w:t>
      </w:r>
      <w:r w:rsidR="00532D53" w:rsidRPr="003660A1">
        <w:t xml:space="preserve">appealing </w:t>
      </w:r>
      <w:r w:rsidR="00642918">
        <w:t>party</w:t>
      </w:r>
      <w:r w:rsidR="004E09C4" w:rsidRPr="003660A1">
        <w:t xml:space="preserve">. </w:t>
      </w:r>
    </w:p>
    <w:p w14:paraId="20CBEC70" w14:textId="01C75848" w:rsidR="004E09C4" w:rsidRPr="003660A1" w:rsidRDefault="00960183" w:rsidP="00960183">
      <w:pPr>
        <w:pStyle w:val="Heading3"/>
      </w:pPr>
      <w:r>
        <w:t>3</w:t>
      </w:r>
      <w:r w:rsidR="004E09C4" w:rsidRPr="003660A1">
        <w:t>.</w:t>
      </w:r>
      <w:r>
        <w:tab/>
      </w:r>
      <w:r w:rsidR="005A7E75" w:rsidRPr="005A7E75">
        <w:t>If necessary to aid review, t</w:t>
      </w:r>
      <w:r w:rsidR="005A7E75" w:rsidRPr="008748D3">
        <w:t xml:space="preserve">he </w:t>
      </w:r>
      <w:r w:rsidR="008748D3" w:rsidRPr="008748D3">
        <w:t>president</w:t>
      </w:r>
      <w:r w:rsidR="005A7E75" w:rsidRPr="005A7E75">
        <w:t xml:space="preserve"> may ask for additional briefing from the parties on issues raised on appeal.</w:t>
      </w:r>
    </w:p>
    <w:p w14:paraId="4A3A36F7" w14:textId="3704CC67" w:rsidR="009B3925" w:rsidRPr="003660A1" w:rsidRDefault="00960183" w:rsidP="00960183">
      <w:pPr>
        <w:pStyle w:val="Heading3"/>
      </w:pPr>
      <w:r w:rsidRPr="00B80AB5">
        <w:t>4.</w:t>
      </w:r>
      <w:r w:rsidRPr="00B80AB5">
        <w:tab/>
      </w:r>
      <w:r w:rsidR="008748D3" w:rsidRPr="00B80AB5">
        <w:t>The president</w:t>
      </w:r>
      <w:r w:rsidR="004E09C4" w:rsidRPr="00B80AB5">
        <w:t xml:space="preserve">, based on their review of the </w:t>
      </w:r>
      <w:r w:rsidR="00D25779" w:rsidRPr="00B80AB5">
        <w:t>parties</w:t>
      </w:r>
      <w:r w:rsidR="008B57DD" w:rsidRPr="00B80AB5">
        <w:t xml:space="preserve">’ submissions and the </w:t>
      </w:r>
      <w:r w:rsidR="004E09C4" w:rsidRPr="00B80AB5">
        <w:t>hearing or</w:t>
      </w:r>
      <w:r w:rsidR="004E09C4" w:rsidRPr="003660A1">
        <w:t xml:space="preserve"> investigative record, will</w:t>
      </w:r>
      <w:r w:rsidR="004E09C4" w:rsidRPr="003660A1">
        <w:rPr>
          <w:i/>
        </w:rPr>
        <w:t xml:space="preserve"> </w:t>
      </w:r>
      <w:r w:rsidR="00907C7A">
        <w:t xml:space="preserve">make a </w:t>
      </w:r>
      <w:r w:rsidR="00607B0B">
        <w:t>f</w:t>
      </w:r>
      <w:r w:rsidR="00907C7A">
        <w:t xml:space="preserve">inal </w:t>
      </w:r>
      <w:r w:rsidR="00607B0B">
        <w:t>d</w:t>
      </w:r>
      <w:r w:rsidR="00907C7A">
        <w:t xml:space="preserve">ecision </w:t>
      </w:r>
      <w:r w:rsidR="009B3925" w:rsidRPr="003660A1">
        <w:t>determin</w:t>
      </w:r>
      <w:r w:rsidR="00907C7A">
        <w:t>ing</w:t>
      </w:r>
      <w:r w:rsidR="009B3925" w:rsidRPr="003660A1">
        <w:t xml:space="preserve"> whether the grounds for appeal have merit, provide the rationale for this conclusion, and state whether</w:t>
      </w:r>
      <w:r w:rsidR="004E09C4" w:rsidRPr="003660A1">
        <w:t xml:space="preserve"> a dismissal if affirmed or denied, or if </w:t>
      </w:r>
      <w:r w:rsidR="009B3925" w:rsidRPr="003660A1">
        <w:t xml:space="preserve">the disciplinary sanctions and conditions imposed in the </w:t>
      </w:r>
      <w:r w:rsidR="00607B0B">
        <w:t>i</w:t>
      </w:r>
      <w:r w:rsidR="009B3925" w:rsidRPr="003660A1">
        <w:t xml:space="preserve">nitial </w:t>
      </w:r>
      <w:r w:rsidR="00607B0B">
        <w:t>o</w:t>
      </w:r>
      <w:r w:rsidR="009B3925" w:rsidRPr="003660A1">
        <w:t>rder are affirmed, vacated, or amended, and, if amended, set forth the new disciplinary sanctions and conditions.</w:t>
      </w:r>
      <w:r w:rsidR="000623E0" w:rsidRPr="003660A1">
        <w:t xml:space="preserve"> </w:t>
      </w:r>
    </w:p>
    <w:p w14:paraId="365B7700" w14:textId="7E0E40AF" w:rsidR="0027077C" w:rsidRPr="003660A1" w:rsidRDefault="00960183" w:rsidP="00960183">
      <w:pPr>
        <w:pStyle w:val="Heading3"/>
      </w:pPr>
      <w:r>
        <w:t>5.</w:t>
      </w:r>
      <w:r>
        <w:tab/>
      </w:r>
      <w:r w:rsidR="00DA49BA" w:rsidRPr="003660A1">
        <w:t xml:space="preserve">The </w:t>
      </w:r>
      <w:r w:rsidR="00607B0B">
        <w:t>f</w:t>
      </w:r>
      <w:r w:rsidR="009B3925" w:rsidRPr="003660A1">
        <w:t xml:space="preserve">inal </w:t>
      </w:r>
      <w:r w:rsidR="00607B0B">
        <w:t>d</w:t>
      </w:r>
      <w:r w:rsidR="009B3925" w:rsidRPr="003660A1">
        <w:t xml:space="preserve">ecision </w:t>
      </w:r>
      <w:r w:rsidR="00DA49BA" w:rsidRPr="003660A1">
        <w:t xml:space="preserve">shall be served on all </w:t>
      </w:r>
      <w:r w:rsidR="00D25779">
        <w:t>parties</w:t>
      </w:r>
      <w:r w:rsidR="009B3925" w:rsidRPr="003660A1">
        <w:t xml:space="preserve"> </w:t>
      </w:r>
      <w:r w:rsidR="00DA49BA" w:rsidRPr="003660A1">
        <w:t xml:space="preserve">and the </w:t>
      </w:r>
      <w:r w:rsidR="00CF7DBC">
        <w:t>Title IX coordinator</w:t>
      </w:r>
      <w:r w:rsidR="00DA49BA" w:rsidRPr="003660A1">
        <w:t>.</w:t>
      </w:r>
      <w:r w:rsidR="00CF7DBC">
        <w:t xml:space="preserve"> </w:t>
      </w:r>
      <w:r w:rsidR="00DA49BA" w:rsidRPr="003660A1">
        <w:t xml:space="preserve">If the case involves allegations of </w:t>
      </w:r>
      <w:r w:rsidR="00625A65">
        <w:t>sex-based harassment</w:t>
      </w:r>
      <w:r w:rsidR="00DA49BA" w:rsidRPr="003660A1">
        <w:t xml:space="preserve">, the </w:t>
      </w:r>
      <w:r w:rsidR="00607B0B">
        <w:t>f</w:t>
      </w:r>
      <w:r w:rsidR="00907C7A">
        <w:t xml:space="preserve">inal </w:t>
      </w:r>
      <w:r w:rsidR="00607B0B">
        <w:t>d</w:t>
      </w:r>
      <w:r w:rsidR="00907C7A">
        <w:t>ecision</w:t>
      </w:r>
      <w:r w:rsidR="00DA49BA" w:rsidRPr="003660A1">
        <w:t xml:space="preserve"> shall be served on the </w:t>
      </w:r>
      <w:r w:rsidR="00D25779">
        <w:t>parties</w:t>
      </w:r>
      <w:r w:rsidR="00DA49BA" w:rsidRPr="003660A1">
        <w:t xml:space="preserve"> and the </w:t>
      </w:r>
      <w:r w:rsidR="00CF7DBC">
        <w:t>Title IX coordinator</w:t>
      </w:r>
      <w:r w:rsidR="00DA49BA" w:rsidRPr="003660A1">
        <w:t xml:space="preserve"> simultaneously.</w:t>
      </w:r>
      <w:r w:rsidR="00CF7DBC">
        <w:t xml:space="preserve"> </w:t>
      </w:r>
    </w:p>
    <w:p w14:paraId="40D19896" w14:textId="60726F59" w:rsidR="00B63A88" w:rsidRDefault="00960183" w:rsidP="00960183">
      <w:pPr>
        <w:pStyle w:val="Heading3"/>
      </w:pPr>
      <w:r>
        <w:t>6</w:t>
      </w:r>
      <w:r w:rsidR="000D5072" w:rsidRPr="003660A1">
        <w:t xml:space="preserve">. </w:t>
      </w:r>
      <w:r w:rsidR="00DA49BA" w:rsidRPr="003660A1">
        <w:tab/>
      </w:r>
      <w:r w:rsidR="00DE1B27" w:rsidRPr="003660A1">
        <w:t>All decisions reached through this process are final</w:t>
      </w:r>
      <w:r w:rsidR="000D5072" w:rsidRPr="003660A1">
        <w:t xml:space="preserve"> and may be </w:t>
      </w:r>
      <w:r w:rsidR="008B57DD" w:rsidRPr="003660A1">
        <w:t xml:space="preserve">judicially appealed pursuant to applicable provisions of </w:t>
      </w:r>
      <w:hyperlink r:id="rId19" w:history="1">
        <w:r w:rsidR="008B57DD" w:rsidRPr="00607B0B">
          <w:rPr>
            <w:rStyle w:val="Hyperlink"/>
          </w:rPr>
          <w:t>RCW 34.05</w:t>
        </w:r>
      </w:hyperlink>
      <w:r w:rsidR="008B57DD" w:rsidRPr="003660A1">
        <w:t xml:space="preserve">, including, but not limited to, the timelines set forth in </w:t>
      </w:r>
      <w:hyperlink r:id="rId20" w:history="1">
        <w:r w:rsidR="008B57DD" w:rsidRPr="00607B0B">
          <w:rPr>
            <w:rStyle w:val="Hyperlink"/>
          </w:rPr>
          <w:t>RCW 34.05.</w:t>
        </w:r>
        <w:r w:rsidR="00764272" w:rsidRPr="00607B0B">
          <w:rPr>
            <w:rStyle w:val="Hyperlink"/>
          </w:rPr>
          <w:t>542</w:t>
        </w:r>
      </w:hyperlink>
      <w:r w:rsidR="00DE1B27" w:rsidRPr="003660A1">
        <w:t>.</w:t>
      </w:r>
      <w:r w:rsidR="000623E0" w:rsidRPr="003660A1">
        <w:t xml:space="preserve"> </w:t>
      </w:r>
      <w:r w:rsidR="00DE1B27" w:rsidRPr="003660A1">
        <w:t>No</w:t>
      </w:r>
      <w:r w:rsidR="00D3334B" w:rsidRPr="003660A1">
        <w:t xml:space="preserve"> decisions or recommendations </w:t>
      </w:r>
      <w:r w:rsidR="00DE1B27" w:rsidRPr="003660A1">
        <w:t>arising from this</w:t>
      </w:r>
      <w:r w:rsidR="00D3334B" w:rsidRPr="003660A1">
        <w:t xml:space="preserve"> disciplinary procedure </w:t>
      </w:r>
      <w:r w:rsidR="00533F46" w:rsidRPr="003660A1">
        <w:t>will</w:t>
      </w:r>
      <w:r w:rsidR="00DE1B27" w:rsidRPr="003660A1">
        <w:t xml:space="preserve"> be subject </w:t>
      </w:r>
      <w:r w:rsidR="00533F46" w:rsidRPr="003660A1">
        <w:t xml:space="preserve">to </w:t>
      </w:r>
      <w:r w:rsidR="00DE1B27" w:rsidRPr="003660A1">
        <w:t>grievance pursuant to any Collective Bargaining Agreement.</w:t>
      </w:r>
    </w:p>
    <w:p w14:paraId="25AE8693" w14:textId="5E26C904" w:rsidR="00992138" w:rsidRDefault="00992138" w:rsidP="00F26AE3">
      <w:pPr>
        <w:pStyle w:val="BodyTextItalicBOT"/>
      </w:pPr>
      <w:r>
        <w:t>Approved by the president’s cabinet: 8/18/20</w:t>
      </w:r>
      <w:r w:rsidR="00607B0B">
        <w:t xml:space="preserve">, </w:t>
      </w:r>
      <w:r w:rsidR="00410773">
        <w:t>7/30</w:t>
      </w:r>
      <w:r w:rsidR="001F5B75">
        <w:t>/24</w:t>
      </w:r>
    </w:p>
    <w:p w14:paraId="771E8776" w14:textId="551017EF" w:rsidR="007E1C08" w:rsidRDefault="007E1C08" w:rsidP="00F26AE3">
      <w:pPr>
        <w:pStyle w:val="BodyTextItalicBOT"/>
      </w:pPr>
      <w:r>
        <w:t xml:space="preserve">Renamed from sexual harassment employee disciplinary hearing: </w:t>
      </w:r>
      <w:r w:rsidR="00410773">
        <w:t>7/30</w:t>
      </w:r>
      <w:r w:rsidR="001F5B75">
        <w:t>/24</w:t>
      </w:r>
    </w:p>
    <w:p w14:paraId="09C475BD" w14:textId="0D19CFE4" w:rsidR="00992138" w:rsidRDefault="00992138" w:rsidP="00992138">
      <w:pPr>
        <w:pStyle w:val="BodyTextItalicBOT"/>
      </w:pPr>
      <w:r>
        <w:t xml:space="preserve">Last reviewed: </w:t>
      </w:r>
      <w:r w:rsidR="00410773">
        <w:t>7/30</w:t>
      </w:r>
      <w:r w:rsidR="001F5B75">
        <w:t>/24</w:t>
      </w:r>
    </w:p>
    <w:p w14:paraId="50E58723" w14:textId="77777777" w:rsidR="00992138" w:rsidRDefault="00992138" w:rsidP="00992138">
      <w:pPr>
        <w:pStyle w:val="BodyTextPolicyContact"/>
      </w:pPr>
      <w:r>
        <w:t>Policy contact: Human Resources</w:t>
      </w:r>
    </w:p>
    <w:p w14:paraId="107E1B64" w14:textId="77777777" w:rsidR="00992138" w:rsidRDefault="00992138" w:rsidP="00992138">
      <w:pPr>
        <w:pStyle w:val="RelatedPP"/>
      </w:pPr>
      <w:r>
        <w:t>Related policies and procedures</w:t>
      </w:r>
    </w:p>
    <w:p w14:paraId="50ED7E5B" w14:textId="77777777" w:rsidR="00992138" w:rsidRDefault="00992138" w:rsidP="00992138">
      <w:pPr>
        <w:pStyle w:val="000000RelatedPolicies"/>
      </w:pPr>
      <w:r>
        <w:tab/>
        <w:t>000.300</w:t>
      </w:r>
      <w:r>
        <w:tab/>
      </w:r>
      <w:hyperlink r:id="rId21" w:history="1">
        <w:r w:rsidRPr="0076610E">
          <w:rPr>
            <w:rStyle w:val="Hyperlink"/>
          </w:rPr>
          <w:t>Freedom of Inquiry &amp; Expression</w:t>
        </w:r>
      </w:hyperlink>
    </w:p>
    <w:p w14:paraId="10DB43F1" w14:textId="4CEC5648" w:rsidR="00722CFF" w:rsidRDefault="00722CFF" w:rsidP="00992138">
      <w:pPr>
        <w:pStyle w:val="000000RelatedPolicies"/>
      </w:pPr>
      <w:r>
        <w:tab/>
        <w:t>000.320</w:t>
      </w:r>
      <w:r>
        <w:tab/>
      </w:r>
      <w:hyperlink r:id="rId22" w:history="1">
        <w:r w:rsidRPr="00722CFF">
          <w:rPr>
            <w:rStyle w:val="Hyperlink"/>
          </w:rPr>
          <w:t>Pregnancy Discrimination Policy</w:t>
        </w:r>
      </w:hyperlink>
    </w:p>
    <w:p w14:paraId="42153749" w14:textId="7C1A1D19" w:rsidR="00992138" w:rsidRPr="00304034" w:rsidRDefault="00992138" w:rsidP="00992138">
      <w:pPr>
        <w:pStyle w:val="000000RelatedPolicies"/>
      </w:pPr>
      <w:r w:rsidRPr="00304034">
        <w:tab/>
        <w:t>000.330</w:t>
      </w:r>
      <w:r w:rsidRPr="00304034">
        <w:tab/>
      </w:r>
      <w:hyperlink r:id="rId23" w:history="1">
        <w:r w:rsidRPr="001D0242">
          <w:rPr>
            <w:rStyle w:val="Hyperlink"/>
          </w:rPr>
          <w:t>Discrimination and Discriminatory Harassment Policy</w:t>
        </w:r>
      </w:hyperlink>
    </w:p>
    <w:p w14:paraId="42F6B746" w14:textId="25271DA7" w:rsidR="00992138" w:rsidRDefault="00992138" w:rsidP="00992138">
      <w:pPr>
        <w:pStyle w:val="000000RelatedPolicies"/>
      </w:pPr>
      <w:r>
        <w:tab/>
        <w:t>000.340</w:t>
      </w:r>
      <w:r>
        <w:tab/>
      </w:r>
      <w:hyperlink r:id="rId24" w:history="1">
        <w:r w:rsidRPr="0032466F">
          <w:rPr>
            <w:rStyle w:val="Hyperlink"/>
          </w:rPr>
          <w:t>Sex</w:t>
        </w:r>
        <w:r w:rsidR="00894127">
          <w:rPr>
            <w:rStyle w:val="Hyperlink"/>
          </w:rPr>
          <w:t xml:space="preserve"> Discrimination</w:t>
        </w:r>
        <w:r w:rsidRPr="0032466F">
          <w:rPr>
            <w:rStyle w:val="Hyperlink"/>
          </w:rPr>
          <w:t xml:space="preserve">/Title IX </w:t>
        </w:r>
        <w:r w:rsidR="00894127">
          <w:rPr>
            <w:rStyle w:val="Hyperlink"/>
          </w:rPr>
          <w:t xml:space="preserve">Investigation </w:t>
        </w:r>
        <w:r w:rsidRPr="0032466F">
          <w:rPr>
            <w:rStyle w:val="Hyperlink"/>
          </w:rPr>
          <w:t>Policy</w:t>
        </w:r>
      </w:hyperlink>
    </w:p>
    <w:p w14:paraId="0DE1C469" w14:textId="77777777" w:rsidR="00992138" w:rsidRPr="00921435" w:rsidRDefault="00992138" w:rsidP="00992138">
      <w:pPr>
        <w:pStyle w:val="000000RelatedPolicies"/>
      </w:pPr>
      <w:r w:rsidRPr="00921435">
        <w:tab/>
        <w:t>400.100</w:t>
      </w:r>
      <w:r w:rsidRPr="00921435">
        <w:tab/>
      </w:r>
      <w:hyperlink r:id="rId25" w:history="1">
        <w:r>
          <w:rPr>
            <w:rStyle w:val="Hyperlink"/>
          </w:rPr>
          <w:t>Student Rights and Responsibilities/Code of Student Conduct Policy</w:t>
        </w:r>
      </w:hyperlink>
    </w:p>
    <w:p w14:paraId="2938AAAA" w14:textId="77777777" w:rsidR="00992138" w:rsidRDefault="00992138" w:rsidP="00992138">
      <w:pPr>
        <w:pStyle w:val="000000RelatedPolicies"/>
        <w:rPr>
          <w:rStyle w:val="Hyperlink"/>
        </w:rPr>
      </w:pPr>
      <w:r w:rsidRPr="00921435">
        <w:tab/>
        <w:t>500.125</w:t>
      </w:r>
      <w:r w:rsidRPr="00921435">
        <w:tab/>
      </w:r>
      <w:hyperlink r:id="rId26" w:history="1">
        <w:r w:rsidRPr="00147404">
          <w:rPr>
            <w:rStyle w:val="Hyperlink"/>
          </w:rPr>
          <w:t>Equal Opportunity/Affirmative Action Policy</w:t>
        </w:r>
      </w:hyperlink>
    </w:p>
    <w:p w14:paraId="404F76B0" w14:textId="1266BDF2" w:rsidR="00722CFF" w:rsidRPr="00921435" w:rsidRDefault="00722CFF" w:rsidP="00992138">
      <w:pPr>
        <w:pStyle w:val="000000RelatedPolicies"/>
      </w:pPr>
      <w:r>
        <w:tab/>
        <w:t>1000.320</w:t>
      </w:r>
      <w:r>
        <w:tab/>
      </w:r>
      <w:hyperlink r:id="rId27" w:history="1">
        <w:r w:rsidRPr="00722CFF">
          <w:rPr>
            <w:rStyle w:val="Hyperlink"/>
          </w:rPr>
          <w:t>Pregnancy Discrimination Procedure</w:t>
        </w:r>
      </w:hyperlink>
    </w:p>
    <w:p w14:paraId="6E72404B" w14:textId="7ADA9EB8" w:rsidR="00894127" w:rsidRPr="00894127" w:rsidRDefault="00992138" w:rsidP="00992138">
      <w:pPr>
        <w:pStyle w:val="000000RelatedPolicies"/>
        <w:rPr>
          <w:color w:val="0000FF"/>
          <w:u w:val="single"/>
        </w:rPr>
      </w:pPr>
      <w:r w:rsidRPr="00921435">
        <w:tab/>
        <w:t>1000.3</w:t>
      </w:r>
      <w:r>
        <w:t>3</w:t>
      </w:r>
      <w:r w:rsidRPr="00921435">
        <w:t>0</w:t>
      </w:r>
      <w:r w:rsidRPr="00921435">
        <w:tab/>
      </w:r>
      <w:hyperlink r:id="rId28" w:history="1">
        <w:r w:rsidRPr="001D0242">
          <w:rPr>
            <w:rStyle w:val="Hyperlink"/>
          </w:rPr>
          <w:t>Discrimination and Discriminatory Harassment Procedure</w:t>
        </w:r>
      </w:hyperlink>
    </w:p>
    <w:p w14:paraId="3A43B1A1" w14:textId="0B8DD307" w:rsidR="00894127" w:rsidRDefault="00894127" w:rsidP="00992138">
      <w:pPr>
        <w:pStyle w:val="000000RelatedPolicies"/>
      </w:pPr>
      <w:r>
        <w:tab/>
        <w:t>1000.340</w:t>
      </w:r>
      <w:r>
        <w:tab/>
      </w:r>
      <w:hyperlink r:id="rId29" w:history="1">
        <w:r w:rsidRPr="008748D3">
          <w:rPr>
            <w:rStyle w:val="Hyperlink"/>
          </w:rPr>
          <w:t>Sex Discrimination/Title IX Investigation Procedure</w:t>
        </w:r>
      </w:hyperlink>
    </w:p>
    <w:p w14:paraId="30954970" w14:textId="3007E75D" w:rsidR="00992138" w:rsidRDefault="00992138" w:rsidP="00992138">
      <w:pPr>
        <w:pStyle w:val="000000RelatedPolicies"/>
        <w:rPr>
          <w:rStyle w:val="Hyperlink"/>
        </w:rPr>
      </w:pPr>
      <w:r w:rsidRPr="00921435">
        <w:tab/>
        <w:t>1400.100</w:t>
      </w:r>
      <w:r w:rsidRPr="00921435">
        <w:tab/>
      </w:r>
      <w:hyperlink r:id="rId30" w:history="1">
        <w:r w:rsidRPr="00945759">
          <w:rPr>
            <w:rStyle w:val="Hyperlink"/>
          </w:rPr>
          <w:t>Student Rights and Freedoms Procedure</w:t>
        </w:r>
      </w:hyperlink>
    </w:p>
    <w:p w14:paraId="6A2F18D7" w14:textId="77777777" w:rsidR="00992138" w:rsidRDefault="00992138" w:rsidP="00992138">
      <w:pPr>
        <w:pStyle w:val="000000RelatedPolicies"/>
      </w:pPr>
      <w:r>
        <w:tab/>
        <w:t>1400.110</w:t>
      </w:r>
      <w:r>
        <w:tab/>
      </w:r>
      <w:hyperlink r:id="rId31" w:history="1">
        <w:r w:rsidRPr="000221A9">
          <w:rPr>
            <w:rStyle w:val="Hyperlink"/>
          </w:rPr>
          <w:t>Code of Student Conduct Procedure</w:t>
        </w:r>
      </w:hyperlink>
    </w:p>
    <w:p w14:paraId="0E1DBB7E" w14:textId="77777777" w:rsidR="00992138" w:rsidRPr="00992138" w:rsidRDefault="00992138" w:rsidP="00992138"/>
    <w:sectPr w:rsidR="00992138" w:rsidRPr="00992138" w:rsidSect="008A7168">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6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C27C2" w14:textId="77777777" w:rsidR="008429FD" w:rsidRDefault="008429FD" w:rsidP="0084582C">
      <w:r>
        <w:separator/>
      </w:r>
    </w:p>
  </w:endnote>
  <w:endnote w:type="continuationSeparator" w:id="0">
    <w:p w14:paraId="2FDFAB33" w14:textId="77777777" w:rsidR="008429FD" w:rsidRDefault="008429FD" w:rsidP="0084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82D65" w14:textId="77777777" w:rsidR="00992138" w:rsidRDefault="00992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08842" w14:textId="77777777" w:rsidR="00992138" w:rsidRDefault="00992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5E6AC" w14:textId="77777777" w:rsidR="00992138" w:rsidRDefault="00992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796CD" w14:textId="77777777" w:rsidR="008429FD" w:rsidRDefault="008429FD" w:rsidP="00B61260">
      <w:r>
        <w:separator/>
      </w:r>
    </w:p>
  </w:footnote>
  <w:footnote w:type="continuationSeparator" w:id="0">
    <w:p w14:paraId="70E3AB56" w14:textId="77777777" w:rsidR="008429FD" w:rsidRDefault="008429FD" w:rsidP="0084582C">
      <w:r>
        <w:continuationSeparator/>
      </w:r>
    </w:p>
  </w:footnote>
  <w:footnote w:id="1">
    <w:p w14:paraId="3CEE4132" w14:textId="566AADF5" w:rsidR="00324B52" w:rsidRDefault="00324B52" w:rsidP="0084582C">
      <w:pPr>
        <w:pStyle w:val="FootnoteText"/>
        <w:spacing w:after="120"/>
        <w:ind w:firstLine="720"/>
      </w:pPr>
      <w:r>
        <w:rPr>
          <w:rStyle w:val="FootnoteReference"/>
        </w:rPr>
        <w:footnoteRef/>
      </w:r>
      <w:r w:rsidR="00CF7DBC">
        <w:t xml:space="preserve"> </w:t>
      </w:r>
      <w:r w:rsidR="00200E75">
        <w:t>This provision is necessary because</w:t>
      </w:r>
      <w:r w:rsidR="009A7DE0">
        <w:t>,</w:t>
      </w:r>
      <w:r w:rsidR="00200E75">
        <w:t xml:space="preserve"> otherwise, </w:t>
      </w:r>
      <w:r>
        <w:t>WAC 10-08-110</w:t>
      </w:r>
      <w:r w:rsidR="00200E75">
        <w:t xml:space="preserve">(2)(c) prohibits the use of email to serve documents on a </w:t>
      </w:r>
      <w:r w:rsidR="00843880">
        <w:t>P</w:t>
      </w:r>
      <w:r w:rsidR="00200E75">
        <w:t xml:space="preserve">arty, unless the receiving </w:t>
      </w:r>
      <w:r w:rsidR="00843880">
        <w:t>P</w:t>
      </w:r>
      <w:r w:rsidR="00200E75">
        <w:t>arty has expressly assented to receiving service by this method.</w:t>
      </w:r>
    </w:p>
  </w:footnote>
  <w:footnote w:id="2">
    <w:p w14:paraId="1B47FC59" w14:textId="77DCA1ED" w:rsidR="005C4034" w:rsidRDefault="005C4034" w:rsidP="0084582C">
      <w:pPr>
        <w:pStyle w:val="FootnoteText"/>
        <w:spacing w:after="120"/>
        <w:ind w:firstLine="720"/>
      </w:pPr>
      <w:r>
        <w:rPr>
          <w:rStyle w:val="FootnoteReference"/>
        </w:rPr>
        <w:footnoteRef/>
      </w:r>
      <w:r w:rsidR="00CF7DBC">
        <w:t xml:space="preserve"> </w:t>
      </w:r>
      <w:r>
        <w:t>This is a citation to the Office of Administrative Hearings</w:t>
      </w:r>
      <w:r w:rsidR="009A7DE0">
        <w:t>’</w:t>
      </w:r>
      <w:r>
        <w:t xml:space="preserve"> </w:t>
      </w:r>
      <w:hyperlink r:id="rId1" w:history="1">
        <w:r w:rsidRPr="0055547A">
          <w:rPr>
            <w:rStyle w:val="Hyperlink"/>
          </w:rPr>
          <w:t>Model Rules</w:t>
        </w:r>
      </w:hyperlink>
      <w:r>
        <w:t>.</w:t>
      </w:r>
      <w:r w:rsidR="008D5E70">
        <w:t xml:space="preserve"> </w:t>
      </w:r>
      <w:r w:rsidR="00CA0327" w:rsidRPr="002F379D">
        <w:rPr>
          <w:b/>
        </w:rPr>
        <w:t>Colleges</w:t>
      </w:r>
      <w:r w:rsidR="005D0B1B">
        <w:rPr>
          <w:b/>
        </w:rPr>
        <w:t xml:space="preserve"> </w:t>
      </w:r>
      <w:r w:rsidR="0055547A" w:rsidRPr="0055547A">
        <w:rPr>
          <w:b/>
        </w:rPr>
        <w:t xml:space="preserve">will want to </w:t>
      </w:r>
      <w:r w:rsidR="00CF0ABE">
        <w:rPr>
          <w:b/>
        </w:rPr>
        <w:t xml:space="preserve">carefully </w:t>
      </w:r>
      <w:r w:rsidR="0055547A" w:rsidRPr="0055547A">
        <w:rPr>
          <w:b/>
        </w:rPr>
        <w:t xml:space="preserve">review </w:t>
      </w:r>
      <w:r w:rsidR="00CF0ABE">
        <w:rPr>
          <w:b/>
        </w:rPr>
        <w:t>OAH’s</w:t>
      </w:r>
      <w:r w:rsidR="0055547A" w:rsidRPr="0055547A">
        <w:rPr>
          <w:b/>
        </w:rPr>
        <w:t xml:space="preserve"> model rules to understand the procedural requirements th</w:t>
      </w:r>
      <w:r w:rsidR="0084582C">
        <w:rPr>
          <w:b/>
        </w:rPr>
        <w:t xml:space="preserve">ey impose in </w:t>
      </w:r>
      <w:r w:rsidR="0055547A" w:rsidRPr="0055547A">
        <w:rPr>
          <w:b/>
        </w:rPr>
        <w:t xml:space="preserve">addition to </w:t>
      </w:r>
      <w:r w:rsidR="0084582C">
        <w:rPr>
          <w:b/>
        </w:rPr>
        <w:t>t</w:t>
      </w:r>
      <w:r w:rsidR="0084582C" w:rsidRPr="0055547A">
        <w:rPr>
          <w:b/>
        </w:rPr>
        <w:t xml:space="preserve">hose </w:t>
      </w:r>
      <w:r w:rsidR="0055547A" w:rsidRPr="0055547A">
        <w:rPr>
          <w:b/>
        </w:rPr>
        <w:t xml:space="preserve">set forth in this </w:t>
      </w:r>
      <w:r w:rsidR="00CA0327">
        <w:rPr>
          <w:b/>
        </w:rPr>
        <w:t xml:space="preserve">disciplinary </w:t>
      </w:r>
      <w:r w:rsidR="0055547A" w:rsidRPr="0055547A">
        <w:rPr>
          <w:b/>
        </w:rPr>
        <w:t>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9DD05" w14:textId="77777777" w:rsidR="00992138" w:rsidRDefault="00992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C0F55" w14:textId="6AB172C3" w:rsidR="008A7168" w:rsidRDefault="008A7168" w:rsidP="008A7168">
    <w:pPr>
      <w:tabs>
        <w:tab w:val="right" w:pos="9360"/>
      </w:tabs>
      <w:rPr>
        <w:rFonts w:eastAsia="MS Mincho"/>
      </w:rPr>
    </w:pPr>
    <w:r>
      <w:rPr>
        <w:rFonts w:eastAsia="MS Mincho"/>
      </w:rPr>
      <w:t>Wenatchee Valley College</w:t>
    </w:r>
    <w:r>
      <w:rPr>
        <w:rFonts w:eastAsia="MS Mincho"/>
      </w:rPr>
      <w:tab/>
      <w:t>1000.000 GENERAL</w:t>
    </w:r>
  </w:p>
  <w:p w14:paraId="19FCA9EF" w14:textId="210BEC5F" w:rsidR="009B3925" w:rsidRDefault="008A7168" w:rsidP="008A7168">
    <w:pPr>
      <w:rPr>
        <w:rFonts w:eastAsia="MS Mincho"/>
      </w:rPr>
    </w:pPr>
    <w:r>
      <w:rPr>
        <w:rFonts w:eastAsia="MS Mincho"/>
      </w:rPr>
      <w:t>COLLEGE OPERATIONAL PROCEDURE</w:t>
    </w:r>
  </w:p>
  <w:p w14:paraId="4A63942C" w14:textId="77777777" w:rsidR="008A7168" w:rsidRPr="008A7168" w:rsidRDefault="008A7168" w:rsidP="008A71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663CD" w14:textId="77777777" w:rsidR="00992138" w:rsidRDefault="00992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B5A52"/>
    <w:multiLevelType w:val="multilevel"/>
    <w:tmpl w:val="04090027"/>
    <w:lvl w:ilvl="0">
      <w:start w:val="1"/>
      <w:numFmt w:val="upperRoman"/>
      <w:lvlText w:val="%1."/>
      <w:lvlJc w:val="left"/>
      <w:pPr>
        <w:ind w:left="0" w:firstLine="0"/>
      </w:pPr>
      <w:rPr>
        <w:b w:val="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58A422D"/>
    <w:multiLevelType w:val="hybridMultilevel"/>
    <w:tmpl w:val="A6522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04A6C"/>
    <w:multiLevelType w:val="hybridMultilevel"/>
    <w:tmpl w:val="BB263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C3EBB"/>
    <w:multiLevelType w:val="hybridMultilevel"/>
    <w:tmpl w:val="3CAE4CC2"/>
    <w:lvl w:ilvl="0" w:tplc="04090015">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502746"/>
    <w:multiLevelType w:val="hybridMultilevel"/>
    <w:tmpl w:val="BBDEA8A0"/>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F5129"/>
    <w:multiLevelType w:val="hybridMultilevel"/>
    <w:tmpl w:val="958CB2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334E95"/>
    <w:multiLevelType w:val="hybridMultilevel"/>
    <w:tmpl w:val="B9BE4AC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5D0EAA"/>
    <w:multiLevelType w:val="hybridMultilevel"/>
    <w:tmpl w:val="A2C4AD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F14261"/>
    <w:multiLevelType w:val="hybridMultilevel"/>
    <w:tmpl w:val="5642A638"/>
    <w:lvl w:ilvl="0" w:tplc="BA827FC0">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46986"/>
    <w:multiLevelType w:val="hybridMultilevel"/>
    <w:tmpl w:val="843C58CE"/>
    <w:lvl w:ilvl="0" w:tplc="2B7C9F76">
      <w:start w:val="1"/>
      <w:numFmt w:val="upperRoman"/>
      <w:lvlText w:val="%1."/>
      <w:lvlJc w:val="right"/>
      <w:pPr>
        <w:ind w:left="32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55E6A"/>
    <w:multiLevelType w:val="multilevel"/>
    <w:tmpl w:val="A04AD94A"/>
    <w:lvl w:ilvl="0">
      <w:start w:val="1"/>
      <w:numFmt w:val="upperRoman"/>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2ECC057C"/>
    <w:multiLevelType w:val="hybridMultilevel"/>
    <w:tmpl w:val="12464F10"/>
    <w:lvl w:ilvl="0" w:tplc="071045C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F19A8"/>
    <w:multiLevelType w:val="hybridMultilevel"/>
    <w:tmpl w:val="F85C8744"/>
    <w:lvl w:ilvl="0" w:tplc="7D8016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8028A"/>
    <w:multiLevelType w:val="hybridMultilevel"/>
    <w:tmpl w:val="360E4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30422A"/>
    <w:multiLevelType w:val="hybridMultilevel"/>
    <w:tmpl w:val="349236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251EA"/>
    <w:multiLevelType w:val="hybridMultilevel"/>
    <w:tmpl w:val="9F7CBE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A6CD4"/>
    <w:multiLevelType w:val="hybridMultilevel"/>
    <w:tmpl w:val="9CDC1A6A"/>
    <w:lvl w:ilvl="0" w:tplc="A038051C">
      <w:start w:val="1"/>
      <w:numFmt w:val="lowerLetter"/>
      <w:lvlText w:val="(%1)"/>
      <w:lvlJc w:val="left"/>
      <w:pPr>
        <w:ind w:left="12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tplc="828CAE42">
      <w:numFmt w:val="bullet"/>
      <w:lvlText w:val="•"/>
      <w:lvlJc w:val="left"/>
      <w:pPr>
        <w:ind w:left="1068" w:hanging="325"/>
      </w:pPr>
      <w:rPr>
        <w:rFonts w:hint="default"/>
        <w:lang w:val="en-US" w:eastAsia="en-US" w:bidi="ar-SA"/>
      </w:rPr>
    </w:lvl>
    <w:lvl w:ilvl="2" w:tplc="9258E23E">
      <w:numFmt w:val="bullet"/>
      <w:lvlText w:val="•"/>
      <w:lvlJc w:val="left"/>
      <w:pPr>
        <w:ind w:left="2016" w:hanging="325"/>
      </w:pPr>
      <w:rPr>
        <w:rFonts w:hint="default"/>
        <w:lang w:val="en-US" w:eastAsia="en-US" w:bidi="ar-SA"/>
      </w:rPr>
    </w:lvl>
    <w:lvl w:ilvl="3" w:tplc="0632FED4">
      <w:numFmt w:val="bullet"/>
      <w:lvlText w:val="•"/>
      <w:lvlJc w:val="left"/>
      <w:pPr>
        <w:ind w:left="2964" w:hanging="325"/>
      </w:pPr>
      <w:rPr>
        <w:rFonts w:hint="default"/>
        <w:lang w:val="en-US" w:eastAsia="en-US" w:bidi="ar-SA"/>
      </w:rPr>
    </w:lvl>
    <w:lvl w:ilvl="4" w:tplc="C6AE7A02">
      <w:numFmt w:val="bullet"/>
      <w:lvlText w:val="•"/>
      <w:lvlJc w:val="left"/>
      <w:pPr>
        <w:ind w:left="3912" w:hanging="325"/>
      </w:pPr>
      <w:rPr>
        <w:rFonts w:hint="default"/>
        <w:lang w:val="en-US" w:eastAsia="en-US" w:bidi="ar-SA"/>
      </w:rPr>
    </w:lvl>
    <w:lvl w:ilvl="5" w:tplc="0B6EC908">
      <w:numFmt w:val="bullet"/>
      <w:lvlText w:val="•"/>
      <w:lvlJc w:val="left"/>
      <w:pPr>
        <w:ind w:left="4860" w:hanging="325"/>
      </w:pPr>
      <w:rPr>
        <w:rFonts w:hint="default"/>
        <w:lang w:val="en-US" w:eastAsia="en-US" w:bidi="ar-SA"/>
      </w:rPr>
    </w:lvl>
    <w:lvl w:ilvl="6" w:tplc="DE921B46">
      <w:numFmt w:val="bullet"/>
      <w:lvlText w:val="•"/>
      <w:lvlJc w:val="left"/>
      <w:pPr>
        <w:ind w:left="5808" w:hanging="325"/>
      </w:pPr>
      <w:rPr>
        <w:rFonts w:hint="default"/>
        <w:lang w:val="en-US" w:eastAsia="en-US" w:bidi="ar-SA"/>
      </w:rPr>
    </w:lvl>
    <w:lvl w:ilvl="7" w:tplc="A754EC0C">
      <w:numFmt w:val="bullet"/>
      <w:lvlText w:val="•"/>
      <w:lvlJc w:val="left"/>
      <w:pPr>
        <w:ind w:left="6756" w:hanging="325"/>
      </w:pPr>
      <w:rPr>
        <w:rFonts w:hint="default"/>
        <w:lang w:val="en-US" w:eastAsia="en-US" w:bidi="ar-SA"/>
      </w:rPr>
    </w:lvl>
    <w:lvl w:ilvl="8" w:tplc="22A2E84E">
      <w:numFmt w:val="bullet"/>
      <w:lvlText w:val="•"/>
      <w:lvlJc w:val="left"/>
      <w:pPr>
        <w:ind w:left="7704" w:hanging="325"/>
      </w:pPr>
      <w:rPr>
        <w:rFonts w:hint="default"/>
        <w:lang w:val="en-US" w:eastAsia="en-US" w:bidi="ar-SA"/>
      </w:rPr>
    </w:lvl>
  </w:abstractNum>
  <w:abstractNum w:abstractNumId="17" w15:restartNumberingAfterBreak="0">
    <w:nsid w:val="5609698E"/>
    <w:multiLevelType w:val="hybridMultilevel"/>
    <w:tmpl w:val="519AE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5216E"/>
    <w:multiLevelType w:val="multilevel"/>
    <w:tmpl w:val="EA6E0B0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upperRoman"/>
      <w:lvlText w:val="%6."/>
      <w:lvlJc w:val="right"/>
      <w:pPr>
        <w:ind w:left="405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5B5172E3"/>
    <w:multiLevelType w:val="hybridMultilevel"/>
    <w:tmpl w:val="6988F762"/>
    <w:lvl w:ilvl="0" w:tplc="7E9CA55E">
      <w:start w:val="1"/>
      <w:numFmt w:val="upperLetter"/>
      <w:lvlText w:val="%1."/>
      <w:lvlJc w:val="left"/>
      <w:pPr>
        <w:ind w:left="720" w:hanging="360"/>
      </w:pPr>
    </w:lvl>
    <w:lvl w:ilvl="1" w:tplc="C996FA50">
      <w:start w:val="1"/>
      <w:numFmt w:val="decimal"/>
      <w:lvlText w:val="%2."/>
      <w:lvlJc w:val="left"/>
      <w:pPr>
        <w:ind w:left="1800" w:hanging="72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F5ADF"/>
    <w:multiLevelType w:val="hybridMultilevel"/>
    <w:tmpl w:val="D17E5D7A"/>
    <w:lvl w:ilvl="0" w:tplc="8E56FC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D0EFE"/>
    <w:multiLevelType w:val="hybridMultilevel"/>
    <w:tmpl w:val="8C24C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D1DA8"/>
    <w:multiLevelType w:val="hybridMultilevel"/>
    <w:tmpl w:val="4202AFE0"/>
    <w:lvl w:ilvl="0" w:tplc="AB4AA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1F005F"/>
    <w:multiLevelType w:val="hybridMultilevel"/>
    <w:tmpl w:val="DE56046A"/>
    <w:lvl w:ilvl="0" w:tplc="27205C8E">
      <w:start w:val="1"/>
      <w:numFmt w:val="decimal"/>
      <w:lvlText w:val="(%1)"/>
      <w:lvlJc w:val="left"/>
      <w:pPr>
        <w:ind w:left="4320" w:hanging="720"/>
      </w:pPr>
      <w:rPr>
        <w:rFonts w:ascii="Times New Roman" w:eastAsia="Times New Roman" w:hAnsi="Times New Roman" w:cs="Times New Roman" w:hint="default"/>
        <w:w w:val="100"/>
        <w:sz w:val="28"/>
        <w:szCs w:val="28"/>
      </w:rPr>
    </w:lvl>
    <w:lvl w:ilvl="1" w:tplc="CC509B62">
      <w:start w:val="1"/>
      <w:numFmt w:val="lowerLetter"/>
      <w:lvlText w:val="(%2)"/>
      <w:lvlJc w:val="left"/>
      <w:pPr>
        <w:ind w:left="1068"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CC509B62">
      <w:start w:val="1"/>
      <w:numFmt w:val="lowerLetter"/>
      <w:lvlText w:val="(%3)"/>
      <w:lvlJc w:val="left"/>
      <w:pPr>
        <w:ind w:left="201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0D724D4E">
      <w:numFmt w:val="bullet"/>
      <w:lvlText w:val="•"/>
      <w:lvlJc w:val="left"/>
      <w:pPr>
        <w:ind w:left="2964" w:hanging="720"/>
      </w:pPr>
      <w:rPr>
        <w:rFonts w:hint="default"/>
      </w:rPr>
    </w:lvl>
    <w:lvl w:ilvl="4" w:tplc="41D288DC">
      <w:numFmt w:val="bullet"/>
      <w:lvlText w:val="•"/>
      <w:lvlJc w:val="left"/>
      <w:pPr>
        <w:ind w:left="3912" w:hanging="720"/>
      </w:pPr>
      <w:rPr>
        <w:rFonts w:hint="default"/>
      </w:rPr>
    </w:lvl>
    <w:lvl w:ilvl="5" w:tplc="DAC2D584">
      <w:numFmt w:val="bullet"/>
      <w:lvlText w:val="•"/>
      <w:lvlJc w:val="left"/>
      <w:pPr>
        <w:ind w:left="4860" w:hanging="720"/>
      </w:pPr>
      <w:rPr>
        <w:rFonts w:hint="default"/>
      </w:rPr>
    </w:lvl>
    <w:lvl w:ilvl="6" w:tplc="B62657DE">
      <w:numFmt w:val="bullet"/>
      <w:lvlText w:val="•"/>
      <w:lvlJc w:val="left"/>
      <w:pPr>
        <w:ind w:left="5808" w:hanging="720"/>
      </w:pPr>
      <w:rPr>
        <w:rFonts w:hint="default"/>
      </w:rPr>
    </w:lvl>
    <w:lvl w:ilvl="7" w:tplc="58BEE590">
      <w:numFmt w:val="bullet"/>
      <w:lvlText w:val="•"/>
      <w:lvlJc w:val="left"/>
      <w:pPr>
        <w:ind w:left="6756" w:hanging="720"/>
      </w:pPr>
      <w:rPr>
        <w:rFonts w:hint="default"/>
      </w:rPr>
    </w:lvl>
    <w:lvl w:ilvl="8" w:tplc="4BD8FBC2">
      <w:numFmt w:val="bullet"/>
      <w:lvlText w:val="•"/>
      <w:lvlJc w:val="left"/>
      <w:pPr>
        <w:ind w:left="7704" w:hanging="720"/>
      </w:pPr>
      <w:rPr>
        <w:rFonts w:hint="default"/>
      </w:rPr>
    </w:lvl>
  </w:abstractNum>
  <w:abstractNum w:abstractNumId="24" w15:restartNumberingAfterBreak="0">
    <w:nsid w:val="76853129"/>
    <w:multiLevelType w:val="multilevel"/>
    <w:tmpl w:val="FB160300"/>
    <w:lvl w:ilvl="0">
      <w:start w:val="1"/>
      <w:numFmt w:val="upperRoman"/>
      <w:lvlText w:val="%1."/>
      <w:lvlJc w:val="left"/>
      <w:pPr>
        <w:ind w:left="0" w:firstLine="0"/>
      </w:pPr>
    </w:lvl>
    <w:lvl w:ilvl="1">
      <w:start w:val="1"/>
      <w:numFmt w:val="decimal"/>
      <w:lvlText w:val="%2."/>
      <w:lvlJc w:val="left"/>
      <w:pPr>
        <w:ind w:left="720" w:firstLine="0"/>
      </w:pPr>
    </w:lvl>
    <w:lvl w:ilvl="2">
      <w:start w:val="1"/>
      <w:numFmt w:val="lowerLetter"/>
      <w:lvlText w:val="%3."/>
      <w:lvlJc w:val="left"/>
      <w:pPr>
        <w:ind w:left="72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77874ECB"/>
    <w:multiLevelType w:val="multilevel"/>
    <w:tmpl w:val="E9FE40BA"/>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15:restartNumberingAfterBreak="0">
    <w:nsid w:val="79D823E5"/>
    <w:multiLevelType w:val="hybridMultilevel"/>
    <w:tmpl w:val="92D2FD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5423FA"/>
    <w:multiLevelType w:val="multilevel"/>
    <w:tmpl w:val="536262F0"/>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90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8" w15:restartNumberingAfterBreak="0">
    <w:nsid w:val="7B91451A"/>
    <w:multiLevelType w:val="hybridMultilevel"/>
    <w:tmpl w:val="EAFA31F8"/>
    <w:lvl w:ilvl="0" w:tplc="621E8AD2">
      <w:start w:val="1"/>
      <w:numFmt w:val="lowerLetter"/>
      <w:lvlText w:val="(%1)"/>
      <w:lvlJc w:val="left"/>
      <w:pPr>
        <w:ind w:left="861" w:hanging="382"/>
      </w:pPr>
      <w:rPr>
        <w:rFonts w:ascii="Times New Roman" w:eastAsia="Times New Roman" w:hAnsi="Times New Roman" w:cs="Times New Roman" w:hint="default"/>
        <w:w w:val="100"/>
        <w:sz w:val="28"/>
        <w:szCs w:val="28"/>
      </w:rPr>
    </w:lvl>
    <w:lvl w:ilvl="1" w:tplc="63A8863C">
      <w:start w:val="1"/>
      <w:numFmt w:val="lowerRoman"/>
      <w:lvlText w:val="(%2)"/>
      <w:lvlJc w:val="left"/>
      <w:pPr>
        <w:ind w:left="1440" w:hanging="360"/>
      </w:pPr>
      <w:rPr>
        <w:rFonts w:ascii="Times New Roman" w:eastAsia="Times New Roman" w:hAnsi="Times New Roman" w:cs="Times New Roman" w:hint="default"/>
        <w:w w:val="100"/>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932742">
    <w:abstractNumId w:val="5"/>
  </w:num>
  <w:num w:numId="2" w16cid:durableId="510070458">
    <w:abstractNumId w:val="9"/>
  </w:num>
  <w:num w:numId="3" w16cid:durableId="904527951">
    <w:abstractNumId w:val="3"/>
  </w:num>
  <w:num w:numId="4" w16cid:durableId="1136950835">
    <w:abstractNumId w:val="20"/>
  </w:num>
  <w:num w:numId="5" w16cid:durableId="1169755202">
    <w:abstractNumId w:val="20"/>
    <w:lvlOverride w:ilvl="0">
      <w:startOverride w:val="1"/>
    </w:lvlOverride>
  </w:num>
  <w:num w:numId="6" w16cid:durableId="921640139">
    <w:abstractNumId w:val="20"/>
    <w:lvlOverride w:ilvl="0">
      <w:startOverride w:val="1"/>
    </w:lvlOverride>
  </w:num>
  <w:num w:numId="7" w16cid:durableId="900097327">
    <w:abstractNumId w:val="3"/>
    <w:lvlOverride w:ilvl="0">
      <w:startOverride w:val="1"/>
    </w:lvlOverride>
  </w:num>
  <w:num w:numId="8" w16cid:durableId="557785851">
    <w:abstractNumId w:val="20"/>
    <w:lvlOverride w:ilvl="0">
      <w:startOverride w:val="1"/>
    </w:lvlOverride>
  </w:num>
  <w:num w:numId="9" w16cid:durableId="1661738575">
    <w:abstractNumId w:val="3"/>
    <w:lvlOverride w:ilvl="0">
      <w:startOverride w:val="1"/>
    </w:lvlOverride>
  </w:num>
  <w:num w:numId="10" w16cid:durableId="906572815">
    <w:abstractNumId w:val="11"/>
  </w:num>
  <w:num w:numId="11" w16cid:durableId="1386760715">
    <w:abstractNumId w:val="2"/>
  </w:num>
  <w:num w:numId="12" w16cid:durableId="1225798713">
    <w:abstractNumId w:val="3"/>
    <w:lvlOverride w:ilvl="0">
      <w:startOverride w:val="1"/>
    </w:lvlOverride>
  </w:num>
  <w:num w:numId="13" w16cid:durableId="292949565">
    <w:abstractNumId w:val="17"/>
  </w:num>
  <w:num w:numId="14" w16cid:durableId="857767602">
    <w:abstractNumId w:val="12"/>
  </w:num>
  <w:num w:numId="15" w16cid:durableId="654652598">
    <w:abstractNumId w:val="3"/>
    <w:lvlOverride w:ilvl="0">
      <w:startOverride w:val="1"/>
    </w:lvlOverride>
  </w:num>
  <w:num w:numId="16" w16cid:durableId="1806727824">
    <w:abstractNumId w:val="19"/>
  </w:num>
  <w:num w:numId="17" w16cid:durableId="73477278">
    <w:abstractNumId w:val="1"/>
  </w:num>
  <w:num w:numId="18" w16cid:durableId="611716908">
    <w:abstractNumId w:val="22"/>
  </w:num>
  <w:num w:numId="19" w16cid:durableId="574513334">
    <w:abstractNumId w:val="15"/>
  </w:num>
  <w:num w:numId="20" w16cid:durableId="1791704766">
    <w:abstractNumId w:val="21"/>
  </w:num>
  <w:num w:numId="21" w16cid:durableId="455484508">
    <w:abstractNumId w:val="26"/>
  </w:num>
  <w:num w:numId="22" w16cid:durableId="1859461682">
    <w:abstractNumId w:val="3"/>
    <w:lvlOverride w:ilvl="0">
      <w:startOverride w:val="1"/>
    </w:lvlOverride>
  </w:num>
  <w:num w:numId="23" w16cid:durableId="885526174">
    <w:abstractNumId w:val="13"/>
  </w:num>
  <w:num w:numId="24" w16cid:durableId="1538850855">
    <w:abstractNumId w:val="14"/>
  </w:num>
  <w:num w:numId="25" w16cid:durableId="1762483549">
    <w:abstractNumId w:val="3"/>
    <w:lvlOverride w:ilvl="0">
      <w:startOverride w:val="1"/>
    </w:lvlOverride>
  </w:num>
  <w:num w:numId="26" w16cid:durableId="1577594927">
    <w:abstractNumId w:val="24"/>
  </w:num>
  <w:num w:numId="27" w16cid:durableId="1650942200">
    <w:abstractNumId w:val="0"/>
  </w:num>
  <w:num w:numId="28" w16cid:durableId="1858959463">
    <w:abstractNumId w:val="10"/>
  </w:num>
  <w:num w:numId="29" w16cid:durableId="997002543">
    <w:abstractNumId w:val="25"/>
  </w:num>
  <w:num w:numId="30" w16cid:durableId="1060128843">
    <w:abstractNumId w:val="16"/>
  </w:num>
  <w:num w:numId="31" w16cid:durableId="773213047">
    <w:abstractNumId w:val="18"/>
  </w:num>
  <w:num w:numId="32" w16cid:durableId="940339258">
    <w:abstractNumId w:val="7"/>
  </w:num>
  <w:num w:numId="33" w16cid:durableId="389042401">
    <w:abstractNumId w:val="27"/>
  </w:num>
  <w:num w:numId="34" w16cid:durableId="1387486047">
    <w:abstractNumId w:val="4"/>
  </w:num>
  <w:num w:numId="35" w16cid:durableId="1275091857">
    <w:abstractNumId w:val="6"/>
  </w:num>
  <w:num w:numId="36" w16cid:durableId="1315985739">
    <w:abstractNumId w:val="8"/>
  </w:num>
  <w:num w:numId="37" w16cid:durableId="1427771385">
    <w:abstractNumId w:val="23"/>
  </w:num>
  <w:num w:numId="38" w16cid:durableId="6885314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2A"/>
    <w:rsid w:val="000027C6"/>
    <w:rsid w:val="000047CD"/>
    <w:rsid w:val="000138C3"/>
    <w:rsid w:val="0001430C"/>
    <w:rsid w:val="0002412A"/>
    <w:rsid w:val="00024240"/>
    <w:rsid w:val="0004189B"/>
    <w:rsid w:val="00053DF8"/>
    <w:rsid w:val="00056EFC"/>
    <w:rsid w:val="000623E0"/>
    <w:rsid w:val="00067F36"/>
    <w:rsid w:val="00086FA4"/>
    <w:rsid w:val="000B53F7"/>
    <w:rsid w:val="000C67D6"/>
    <w:rsid w:val="000D28AA"/>
    <w:rsid w:val="000D5072"/>
    <w:rsid w:val="000E58A2"/>
    <w:rsid w:val="000F1418"/>
    <w:rsid w:val="000F79BA"/>
    <w:rsid w:val="00112A44"/>
    <w:rsid w:val="00117CD4"/>
    <w:rsid w:val="00120A26"/>
    <w:rsid w:val="00122FD9"/>
    <w:rsid w:val="001324CC"/>
    <w:rsid w:val="00132ADE"/>
    <w:rsid w:val="001502EF"/>
    <w:rsid w:val="001511F2"/>
    <w:rsid w:val="00167423"/>
    <w:rsid w:val="00172083"/>
    <w:rsid w:val="001C56C7"/>
    <w:rsid w:val="001D1177"/>
    <w:rsid w:val="001E5EF1"/>
    <w:rsid w:val="001F5B75"/>
    <w:rsid w:val="00200E75"/>
    <w:rsid w:val="00206AC6"/>
    <w:rsid w:val="00210642"/>
    <w:rsid w:val="00226688"/>
    <w:rsid w:val="00247997"/>
    <w:rsid w:val="00250E8B"/>
    <w:rsid w:val="0025373F"/>
    <w:rsid w:val="002603DC"/>
    <w:rsid w:val="002604A8"/>
    <w:rsid w:val="002630FE"/>
    <w:rsid w:val="0027077C"/>
    <w:rsid w:val="00291087"/>
    <w:rsid w:val="00295E10"/>
    <w:rsid w:val="002A7247"/>
    <w:rsid w:val="002B0887"/>
    <w:rsid w:val="002C5134"/>
    <w:rsid w:val="002D6731"/>
    <w:rsid w:val="002D7926"/>
    <w:rsid w:val="002E3912"/>
    <w:rsid w:val="002F29E8"/>
    <w:rsid w:val="002F379D"/>
    <w:rsid w:val="002F4DA6"/>
    <w:rsid w:val="0030357E"/>
    <w:rsid w:val="00307E92"/>
    <w:rsid w:val="00311233"/>
    <w:rsid w:val="003122BE"/>
    <w:rsid w:val="00317F80"/>
    <w:rsid w:val="00324B52"/>
    <w:rsid w:val="00332CAD"/>
    <w:rsid w:val="003416F7"/>
    <w:rsid w:val="00347364"/>
    <w:rsid w:val="00355B1F"/>
    <w:rsid w:val="003660A1"/>
    <w:rsid w:val="0037019F"/>
    <w:rsid w:val="00384AAD"/>
    <w:rsid w:val="00396873"/>
    <w:rsid w:val="003A5AF3"/>
    <w:rsid w:val="003A71B4"/>
    <w:rsid w:val="003A7763"/>
    <w:rsid w:val="003A784D"/>
    <w:rsid w:val="003B19E4"/>
    <w:rsid w:val="003B3511"/>
    <w:rsid w:val="003B42C9"/>
    <w:rsid w:val="003C67CF"/>
    <w:rsid w:val="003E6819"/>
    <w:rsid w:val="003F18EC"/>
    <w:rsid w:val="003F607B"/>
    <w:rsid w:val="00410773"/>
    <w:rsid w:val="00411A81"/>
    <w:rsid w:val="004155C1"/>
    <w:rsid w:val="0042037E"/>
    <w:rsid w:val="004355FB"/>
    <w:rsid w:val="00436EB4"/>
    <w:rsid w:val="00442653"/>
    <w:rsid w:val="00447097"/>
    <w:rsid w:val="00463B46"/>
    <w:rsid w:val="00483127"/>
    <w:rsid w:val="004851C7"/>
    <w:rsid w:val="00493AB5"/>
    <w:rsid w:val="00494509"/>
    <w:rsid w:val="004B0B67"/>
    <w:rsid w:val="004C18EF"/>
    <w:rsid w:val="004C1B59"/>
    <w:rsid w:val="004E09C4"/>
    <w:rsid w:val="004E77D6"/>
    <w:rsid w:val="0051735E"/>
    <w:rsid w:val="00532486"/>
    <w:rsid w:val="00532D53"/>
    <w:rsid w:val="005336AC"/>
    <w:rsid w:val="00533F46"/>
    <w:rsid w:val="00545669"/>
    <w:rsid w:val="005476E6"/>
    <w:rsid w:val="00554DA7"/>
    <w:rsid w:val="0055547A"/>
    <w:rsid w:val="00572E8D"/>
    <w:rsid w:val="0057712D"/>
    <w:rsid w:val="00580776"/>
    <w:rsid w:val="00582D6B"/>
    <w:rsid w:val="005A6B4F"/>
    <w:rsid w:val="005A7E75"/>
    <w:rsid w:val="005C4034"/>
    <w:rsid w:val="005C4C4F"/>
    <w:rsid w:val="005D0B1B"/>
    <w:rsid w:val="005E1C8D"/>
    <w:rsid w:val="005F5A9E"/>
    <w:rsid w:val="00601CD4"/>
    <w:rsid w:val="00607B0B"/>
    <w:rsid w:val="006160B2"/>
    <w:rsid w:val="00623991"/>
    <w:rsid w:val="00625A65"/>
    <w:rsid w:val="0064182A"/>
    <w:rsid w:val="00642918"/>
    <w:rsid w:val="00663212"/>
    <w:rsid w:val="0067344C"/>
    <w:rsid w:val="006763C0"/>
    <w:rsid w:val="00685A1B"/>
    <w:rsid w:val="006C66CC"/>
    <w:rsid w:val="006E1779"/>
    <w:rsid w:val="006E26F0"/>
    <w:rsid w:val="006F4A1C"/>
    <w:rsid w:val="0070484D"/>
    <w:rsid w:val="007163E2"/>
    <w:rsid w:val="0071726B"/>
    <w:rsid w:val="00722CFF"/>
    <w:rsid w:val="00734847"/>
    <w:rsid w:val="007433D3"/>
    <w:rsid w:val="00751321"/>
    <w:rsid w:val="007611EF"/>
    <w:rsid w:val="00764272"/>
    <w:rsid w:val="00770493"/>
    <w:rsid w:val="00776503"/>
    <w:rsid w:val="00791B32"/>
    <w:rsid w:val="0079392D"/>
    <w:rsid w:val="007958E1"/>
    <w:rsid w:val="007A11CD"/>
    <w:rsid w:val="007A713C"/>
    <w:rsid w:val="007C53F7"/>
    <w:rsid w:val="007D34CB"/>
    <w:rsid w:val="007D4685"/>
    <w:rsid w:val="007E02C3"/>
    <w:rsid w:val="007E0B94"/>
    <w:rsid w:val="007E19EA"/>
    <w:rsid w:val="007E1C08"/>
    <w:rsid w:val="007E48DA"/>
    <w:rsid w:val="007F039D"/>
    <w:rsid w:val="007F1CDA"/>
    <w:rsid w:val="007F2ACF"/>
    <w:rsid w:val="008074CE"/>
    <w:rsid w:val="00815AD2"/>
    <w:rsid w:val="008429FD"/>
    <w:rsid w:val="00843880"/>
    <w:rsid w:val="00844DB7"/>
    <w:rsid w:val="0084582C"/>
    <w:rsid w:val="0085750C"/>
    <w:rsid w:val="008650BF"/>
    <w:rsid w:val="008748D3"/>
    <w:rsid w:val="00874CDF"/>
    <w:rsid w:val="008758DF"/>
    <w:rsid w:val="00876FAD"/>
    <w:rsid w:val="00894127"/>
    <w:rsid w:val="008A054B"/>
    <w:rsid w:val="008A0D0E"/>
    <w:rsid w:val="008A7168"/>
    <w:rsid w:val="008B57DD"/>
    <w:rsid w:val="008B760D"/>
    <w:rsid w:val="008C1497"/>
    <w:rsid w:val="008C71DA"/>
    <w:rsid w:val="008D5E70"/>
    <w:rsid w:val="008D5EA8"/>
    <w:rsid w:val="008E3292"/>
    <w:rsid w:val="00904AED"/>
    <w:rsid w:val="009070D8"/>
    <w:rsid w:val="00907C7A"/>
    <w:rsid w:val="00942CBC"/>
    <w:rsid w:val="00946508"/>
    <w:rsid w:val="00956571"/>
    <w:rsid w:val="009566C5"/>
    <w:rsid w:val="00960183"/>
    <w:rsid w:val="00965D4E"/>
    <w:rsid w:val="00971965"/>
    <w:rsid w:val="00992138"/>
    <w:rsid w:val="00993314"/>
    <w:rsid w:val="009A3FC5"/>
    <w:rsid w:val="009A7DE0"/>
    <w:rsid w:val="009B07BB"/>
    <w:rsid w:val="009B0D05"/>
    <w:rsid w:val="009B3925"/>
    <w:rsid w:val="009B6E5B"/>
    <w:rsid w:val="009B763E"/>
    <w:rsid w:val="009C0CF1"/>
    <w:rsid w:val="009C4B83"/>
    <w:rsid w:val="009D6247"/>
    <w:rsid w:val="009F01C3"/>
    <w:rsid w:val="00A07D88"/>
    <w:rsid w:val="00A11B72"/>
    <w:rsid w:val="00A260E4"/>
    <w:rsid w:val="00A456C9"/>
    <w:rsid w:val="00A94C3C"/>
    <w:rsid w:val="00A96401"/>
    <w:rsid w:val="00AA0543"/>
    <w:rsid w:val="00AE20F4"/>
    <w:rsid w:val="00B11DC4"/>
    <w:rsid w:val="00B21516"/>
    <w:rsid w:val="00B252F5"/>
    <w:rsid w:val="00B26F93"/>
    <w:rsid w:val="00B42D12"/>
    <w:rsid w:val="00B52B85"/>
    <w:rsid w:val="00B52E14"/>
    <w:rsid w:val="00B61260"/>
    <w:rsid w:val="00B63A88"/>
    <w:rsid w:val="00B80AB5"/>
    <w:rsid w:val="00B9436B"/>
    <w:rsid w:val="00BC5F4C"/>
    <w:rsid w:val="00BE095E"/>
    <w:rsid w:val="00BE3477"/>
    <w:rsid w:val="00C001CA"/>
    <w:rsid w:val="00C023AD"/>
    <w:rsid w:val="00C03376"/>
    <w:rsid w:val="00C16EBC"/>
    <w:rsid w:val="00C20CFC"/>
    <w:rsid w:val="00C344C6"/>
    <w:rsid w:val="00C943B9"/>
    <w:rsid w:val="00CA0327"/>
    <w:rsid w:val="00CB1D9B"/>
    <w:rsid w:val="00CB3925"/>
    <w:rsid w:val="00CE281E"/>
    <w:rsid w:val="00CF0ABE"/>
    <w:rsid w:val="00CF7DBC"/>
    <w:rsid w:val="00D2219D"/>
    <w:rsid w:val="00D25779"/>
    <w:rsid w:val="00D30950"/>
    <w:rsid w:val="00D31C80"/>
    <w:rsid w:val="00D33209"/>
    <w:rsid w:val="00D3334B"/>
    <w:rsid w:val="00D35694"/>
    <w:rsid w:val="00D47E0B"/>
    <w:rsid w:val="00D512ED"/>
    <w:rsid w:val="00D659DC"/>
    <w:rsid w:val="00DA49BA"/>
    <w:rsid w:val="00DB5CE4"/>
    <w:rsid w:val="00DC474D"/>
    <w:rsid w:val="00DE03CA"/>
    <w:rsid w:val="00DE1B27"/>
    <w:rsid w:val="00E11076"/>
    <w:rsid w:val="00E11C14"/>
    <w:rsid w:val="00E15A6B"/>
    <w:rsid w:val="00E16877"/>
    <w:rsid w:val="00E22EB1"/>
    <w:rsid w:val="00E42200"/>
    <w:rsid w:val="00E519DC"/>
    <w:rsid w:val="00E55D91"/>
    <w:rsid w:val="00E7162C"/>
    <w:rsid w:val="00E8599B"/>
    <w:rsid w:val="00EA0266"/>
    <w:rsid w:val="00EB5F6B"/>
    <w:rsid w:val="00EC6EA8"/>
    <w:rsid w:val="00ED312C"/>
    <w:rsid w:val="00ED7BDC"/>
    <w:rsid w:val="00EE54B0"/>
    <w:rsid w:val="00EE561B"/>
    <w:rsid w:val="00F00B20"/>
    <w:rsid w:val="00F17C35"/>
    <w:rsid w:val="00F25E57"/>
    <w:rsid w:val="00F26AE3"/>
    <w:rsid w:val="00F26BDC"/>
    <w:rsid w:val="00F30968"/>
    <w:rsid w:val="00F311A3"/>
    <w:rsid w:val="00F409DE"/>
    <w:rsid w:val="00F44955"/>
    <w:rsid w:val="00F51B79"/>
    <w:rsid w:val="00F85E43"/>
    <w:rsid w:val="00F933E2"/>
    <w:rsid w:val="00F95CEA"/>
    <w:rsid w:val="00F97530"/>
    <w:rsid w:val="00FA38C3"/>
    <w:rsid w:val="00FB4699"/>
    <w:rsid w:val="00FC31DE"/>
    <w:rsid w:val="00FE1544"/>
    <w:rsid w:val="00FE452A"/>
    <w:rsid w:val="00FE7EE9"/>
    <w:rsid w:val="00FF6217"/>
    <w:rsid w:val="00FF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061547C"/>
  <w15:chartTrackingRefBased/>
  <w15:docId w15:val="{8FA16745-BA09-4C95-B84C-BF99233A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7168"/>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8A7168"/>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8A7168"/>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8A7168"/>
    <w:pPr>
      <w:tabs>
        <w:tab w:val="left" w:pos="720"/>
      </w:tabs>
      <w:spacing w:after="120"/>
      <w:ind w:left="720" w:hanging="360"/>
      <w:outlineLvl w:val="2"/>
    </w:pPr>
  </w:style>
  <w:style w:type="paragraph" w:styleId="Heading4">
    <w:name w:val="heading 4"/>
    <w:basedOn w:val="Normal"/>
    <w:next w:val="Normal"/>
    <w:link w:val="Heading4Char"/>
    <w:qFormat/>
    <w:rsid w:val="008A7168"/>
    <w:pPr>
      <w:tabs>
        <w:tab w:val="left" w:pos="1080"/>
      </w:tabs>
      <w:spacing w:after="120"/>
      <w:ind w:left="1080" w:hanging="360"/>
      <w:outlineLvl w:val="3"/>
    </w:pPr>
    <w:rPr>
      <w:szCs w:val="20"/>
    </w:rPr>
  </w:style>
  <w:style w:type="paragraph" w:styleId="Heading5">
    <w:name w:val="heading 5"/>
    <w:basedOn w:val="Normal"/>
    <w:next w:val="Normal"/>
    <w:link w:val="Heading5Char"/>
    <w:qFormat/>
    <w:rsid w:val="008A7168"/>
    <w:pPr>
      <w:tabs>
        <w:tab w:val="left" w:pos="1440"/>
      </w:tabs>
      <w:spacing w:after="120"/>
      <w:ind w:left="1440" w:hanging="360"/>
      <w:outlineLvl w:val="4"/>
    </w:pPr>
    <w:rPr>
      <w:szCs w:val="20"/>
    </w:rPr>
  </w:style>
  <w:style w:type="paragraph" w:styleId="Heading6">
    <w:name w:val="heading 6"/>
    <w:basedOn w:val="Heading5"/>
    <w:next w:val="Normal"/>
    <w:link w:val="Heading6Char"/>
    <w:unhideWhenUsed/>
    <w:qFormat/>
    <w:rsid w:val="008A7168"/>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7168"/>
    <w:pPr>
      <w:tabs>
        <w:tab w:val="center" w:pos="4320"/>
        <w:tab w:val="right" w:pos="8640"/>
      </w:tabs>
    </w:pPr>
  </w:style>
  <w:style w:type="character" w:customStyle="1" w:styleId="HeaderChar">
    <w:name w:val="Header Char"/>
    <w:basedOn w:val="DefaultParagraphFont"/>
    <w:link w:val="Header"/>
    <w:rsid w:val="008A7168"/>
    <w:rPr>
      <w:rFonts w:ascii="Arial" w:eastAsia="Times New Roman" w:hAnsi="Arial" w:cs="Times New Roman"/>
      <w:szCs w:val="24"/>
    </w:rPr>
  </w:style>
  <w:style w:type="paragraph" w:styleId="Footer">
    <w:name w:val="footer"/>
    <w:basedOn w:val="Normal"/>
    <w:link w:val="FooterChar"/>
    <w:rsid w:val="008A7168"/>
    <w:pPr>
      <w:tabs>
        <w:tab w:val="center" w:pos="4320"/>
        <w:tab w:val="right" w:pos="8640"/>
      </w:tabs>
    </w:pPr>
  </w:style>
  <w:style w:type="character" w:customStyle="1" w:styleId="FooterChar">
    <w:name w:val="Footer Char"/>
    <w:link w:val="Footer"/>
    <w:rsid w:val="008A7168"/>
    <w:rPr>
      <w:rFonts w:ascii="Arial" w:eastAsia="Times New Roman" w:hAnsi="Arial" w:cs="Times New Roman"/>
      <w:szCs w:val="24"/>
    </w:rPr>
  </w:style>
  <w:style w:type="paragraph" w:styleId="ListParagraph">
    <w:name w:val="List Paragraph"/>
    <w:basedOn w:val="Normal"/>
    <w:uiPriority w:val="34"/>
    <w:qFormat/>
    <w:rsid w:val="008A7168"/>
    <w:pPr>
      <w:ind w:left="720"/>
    </w:pPr>
  </w:style>
  <w:style w:type="character" w:styleId="Hyperlink">
    <w:name w:val="Hyperlink"/>
    <w:basedOn w:val="DefaultParagraphFont"/>
    <w:rsid w:val="008A7168"/>
    <w:rPr>
      <w:color w:val="0000FF"/>
      <w:u w:val="single"/>
    </w:rPr>
  </w:style>
  <w:style w:type="paragraph" w:styleId="FootnoteText">
    <w:name w:val="footnote text"/>
    <w:basedOn w:val="Normal"/>
    <w:link w:val="FootnoteTextChar"/>
    <w:uiPriority w:val="99"/>
    <w:unhideWhenUsed/>
    <w:rsid w:val="009B3925"/>
    <w:rPr>
      <w:sz w:val="20"/>
      <w:szCs w:val="20"/>
    </w:rPr>
  </w:style>
  <w:style w:type="character" w:customStyle="1" w:styleId="FootnoteTextChar">
    <w:name w:val="Footnote Text Char"/>
    <w:basedOn w:val="DefaultParagraphFont"/>
    <w:link w:val="FootnoteText"/>
    <w:uiPriority w:val="99"/>
    <w:rsid w:val="009B3925"/>
    <w:rPr>
      <w:sz w:val="20"/>
      <w:szCs w:val="20"/>
    </w:rPr>
  </w:style>
  <w:style w:type="character" w:styleId="FootnoteReference">
    <w:name w:val="footnote reference"/>
    <w:basedOn w:val="DefaultParagraphFont"/>
    <w:uiPriority w:val="99"/>
    <w:semiHidden/>
    <w:unhideWhenUsed/>
    <w:rsid w:val="009B3925"/>
    <w:rPr>
      <w:vertAlign w:val="superscript"/>
    </w:rPr>
  </w:style>
  <w:style w:type="character" w:styleId="CommentReference">
    <w:name w:val="annotation reference"/>
    <w:rsid w:val="008A7168"/>
    <w:rPr>
      <w:sz w:val="16"/>
      <w:szCs w:val="16"/>
    </w:rPr>
  </w:style>
  <w:style w:type="paragraph" w:styleId="CommentText">
    <w:name w:val="annotation text"/>
    <w:basedOn w:val="Normal"/>
    <w:link w:val="CommentTextChar"/>
    <w:semiHidden/>
    <w:rsid w:val="008A7168"/>
  </w:style>
  <w:style w:type="character" w:customStyle="1" w:styleId="CommentTextChar">
    <w:name w:val="Comment Text Char"/>
    <w:link w:val="CommentText"/>
    <w:semiHidden/>
    <w:rsid w:val="008A7168"/>
    <w:rPr>
      <w:rFonts w:ascii="Arial" w:eastAsia="Times New Roman" w:hAnsi="Arial" w:cs="Times New Roman"/>
      <w:szCs w:val="24"/>
    </w:rPr>
  </w:style>
  <w:style w:type="paragraph" w:styleId="CommentSubject">
    <w:name w:val="annotation subject"/>
    <w:basedOn w:val="CommentText"/>
    <w:next w:val="CommentText"/>
    <w:link w:val="CommentSubjectChar"/>
    <w:rsid w:val="008A7168"/>
    <w:rPr>
      <w:b/>
      <w:bCs/>
      <w:szCs w:val="20"/>
    </w:rPr>
  </w:style>
  <w:style w:type="character" w:customStyle="1" w:styleId="CommentSubjectChar">
    <w:name w:val="Comment Subject Char"/>
    <w:link w:val="CommentSubject"/>
    <w:rsid w:val="008A7168"/>
    <w:rPr>
      <w:rFonts w:ascii="Arial" w:eastAsia="Times New Roman" w:hAnsi="Arial" w:cs="Times New Roman"/>
      <w:b/>
      <w:bCs/>
      <w:szCs w:val="20"/>
    </w:rPr>
  </w:style>
  <w:style w:type="paragraph" w:styleId="BalloonText">
    <w:name w:val="Balloon Text"/>
    <w:basedOn w:val="Normal"/>
    <w:link w:val="BalloonTextChar"/>
    <w:semiHidden/>
    <w:rsid w:val="008A7168"/>
    <w:rPr>
      <w:rFonts w:ascii="Tahoma" w:hAnsi="Tahoma" w:cs="Tahoma"/>
      <w:sz w:val="16"/>
      <w:szCs w:val="16"/>
    </w:rPr>
  </w:style>
  <w:style w:type="character" w:customStyle="1" w:styleId="BalloonTextChar">
    <w:name w:val="Balloon Text Char"/>
    <w:link w:val="BalloonText"/>
    <w:semiHidden/>
    <w:rsid w:val="008A7168"/>
    <w:rPr>
      <w:rFonts w:ascii="Tahoma" w:eastAsia="Times New Roman" w:hAnsi="Tahoma" w:cs="Tahoma"/>
      <w:sz w:val="16"/>
      <w:szCs w:val="16"/>
    </w:rPr>
  </w:style>
  <w:style w:type="character" w:styleId="FollowedHyperlink">
    <w:name w:val="FollowedHyperlink"/>
    <w:basedOn w:val="DefaultParagraphFont"/>
    <w:rsid w:val="008A7168"/>
    <w:rPr>
      <w:color w:val="800080"/>
      <w:u w:val="single"/>
    </w:rPr>
  </w:style>
  <w:style w:type="character" w:customStyle="1" w:styleId="Heading1Char">
    <w:name w:val="Heading 1 Char"/>
    <w:link w:val="Heading1"/>
    <w:rsid w:val="008A7168"/>
    <w:rPr>
      <w:rFonts w:ascii="Arial" w:eastAsia="Times New Roman" w:hAnsi="Arial" w:cs="Times New Roman"/>
      <w:b/>
    </w:rPr>
  </w:style>
  <w:style w:type="character" w:customStyle="1" w:styleId="Heading2Char">
    <w:name w:val="Heading 2 Char"/>
    <w:link w:val="Heading2"/>
    <w:rsid w:val="008A7168"/>
    <w:rPr>
      <w:rFonts w:ascii="Arial" w:eastAsia="MS Mincho" w:hAnsi="Arial" w:cs="Times New Roman"/>
      <w:b/>
    </w:rPr>
  </w:style>
  <w:style w:type="character" w:customStyle="1" w:styleId="Heading3Char">
    <w:name w:val="Heading 3 Char"/>
    <w:link w:val="Heading3"/>
    <w:rsid w:val="008A7168"/>
    <w:rPr>
      <w:rFonts w:ascii="Arial" w:eastAsia="Times New Roman" w:hAnsi="Arial" w:cs="Times New Roman"/>
      <w:szCs w:val="24"/>
    </w:rPr>
  </w:style>
  <w:style w:type="paragraph" w:styleId="Revision">
    <w:name w:val="Revision"/>
    <w:hidden/>
    <w:uiPriority w:val="99"/>
    <w:semiHidden/>
    <w:rsid w:val="00A11B72"/>
    <w:pPr>
      <w:spacing w:after="0" w:line="240" w:lineRule="auto"/>
    </w:pPr>
    <w:rPr>
      <w:sz w:val="24"/>
    </w:rPr>
  </w:style>
  <w:style w:type="paragraph" w:customStyle="1" w:styleId="000000RelatedPolicies">
    <w:name w:val="000.000 Related Policies"/>
    <w:basedOn w:val="Normal"/>
    <w:autoRedefine/>
    <w:rsid w:val="008A7168"/>
    <w:pPr>
      <w:tabs>
        <w:tab w:val="decimal" w:pos="540"/>
        <w:tab w:val="left" w:pos="1260"/>
      </w:tabs>
    </w:pPr>
    <w:rPr>
      <w:szCs w:val="20"/>
    </w:rPr>
  </w:style>
  <w:style w:type="paragraph" w:styleId="BlockText">
    <w:name w:val="Block Text"/>
    <w:basedOn w:val="Normal"/>
    <w:rsid w:val="008A7168"/>
    <w:pPr>
      <w:spacing w:after="120"/>
      <w:ind w:left="1440" w:right="1440"/>
    </w:pPr>
    <w:rPr>
      <w:rFonts w:eastAsiaTheme="minorEastAsia" w:cstheme="minorBidi"/>
    </w:rPr>
  </w:style>
  <w:style w:type="paragraph" w:customStyle="1" w:styleId="Blockquote">
    <w:name w:val="Blockquote"/>
    <w:basedOn w:val="Normal"/>
    <w:rsid w:val="008A7168"/>
    <w:pPr>
      <w:spacing w:before="100" w:after="100"/>
      <w:ind w:left="360" w:right="360"/>
    </w:pPr>
    <w:rPr>
      <w:snapToGrid w:val="0"/>
    </w:rPr>
  </w:style>
  <w:style w:type="paragraph" w:styleId="BodyText">
    <w:name w:val="Body Text"/>
    <w:basedOn w:val="Normal"/>
    <w:link w:val="BodyTextChar"/>
    <w:autoRedefine/>
    <w:qFormat/>
    <w:rsid w:val="008A7168"/>
    <w:pPr>
      <w:spacing w:after="120"/>
    </w:pPr>
    <w:rPr>
      <w:szCs w:val="22"/>
    </w:rPr>
  </w:style>
  <w:style w:type="character" w:customStyle="1" w:styleId="BodyTextChar">
    <w:name w:val="Body Text Char"/>
    <w:link w:val="BodyText"/>
    <w:rsid w:val="008A7168"/>
    <w:rPr>
      <w:rFonts w:ascii="Arial" w:eastAsia="Times New Roman" w:hAnsi="Arial" w:cs="Times New Roman"/>
    </w:rPr>
  </w:style>
  <w:style w:type="paragraph" w:customStyle="1" w:styleId="BodyText25Italic">
    <w:name w:val="Body Text .25&quot; Italic"/>
    <w:basedOn w:val="BodyText"/>
    <w:next w:val="BodyText"/>
    <w:rsid w:val="008A7168"/>
    <w:rPr>
      <w:i/>
      <w:iCs/>
    </w:rPr>
  </w:style>
  <w:style w:type="paragraph" w:customStyle="1" w:styleId="BodyTextItalic">
    <w:name w:val="Body Text + Italic"/>
    <w:basedOn w:val="BodyText"/>
    <w:rsid w:val="008A7168"/>
    <w:rPr>
      <w:i/>
      <w:iCs/>
    </w:rPr>
  </w:style>
  <w:style w:type="paragraph" w:customStyle="1" w:styleId="BodyTextItalicBOT">
    <w:name w:val="Body Text + Italic BOT"/>
    <w:next w:val="BodyText"/>
    <w:qFormat/>
    <w:rsid w:val="008A7168"/>
    <w:pPr>
      <w:spacing w:after="0" w:line="240" w:lineRule="auto"/>
    </w:pPr>
    <w:rPr>
      <w:rFonts w:ascii="Arial" w:eastAsia="Times New Roman" w:hAnsi="Arial" w:cs="Times New Roman"/>
      <w:i/>
    </w:rPr>
  </w:style>
  <w:style w:type="paragraph" w:customStyle="1" w:styleId="BodyText025">
    <w:name w:val="Body Text 0.25&quot;"/>
    <w:basedOn w:val="Normal"/>
    <w:autoRedefine/>
    <w:rsid w:val="008A7168"/>
    <w:pPr>
      <w:spacing w:after="120"/>
      <w:ind w:left="360"/>
    </w:pPr>
  </w:style>
  <w:style w:type="paragraph" w:customStyle="1" w:styleId="BodyText05">
    <w:name w:val="Body Text 0.5&quot;"/>
    <w:basedOn w:val="BodyText"/>
    <w:autoRedefine/>
    <w:qFormat/>
    <w:rsid w:val="008A7168"/>
    <w:pPr>
      <w:ind w:left="720"/>
    </w:pPr>
    <w:rPr>
      <w:szCs w:val="20"/>
    </w:rPr>
  </w:style>
  <w:style w:type="paragraph" w:customStyle="1" w:styleId="BodyText075">
    <w:name w:val="Body Text 0.75&quot;"/>
    <w:basedOn w:val="BodyText"/>
    <w:autoRedefine/>
    <w:qFormat/>
    <w:rsid w:val="008A7168"/>
    <w:pPr>
      <w:ind w:left="1080"/>
    </w:pPr>
  </w:style>
  <w:style w:type="paragraph" w:styleId="BodyTextIndent">
    <w:name w:val="Body Text Indent"/>
    <w:basedOn w:val="Normal"/>
    <w:link w:val="BodyTextIndentChar"/>
    <w:rsid w:val="008A7168"/>
    <w:pPr>
      <w:spacing w:after="120"/>
      <w:ind w:left="360"/>
    </w:pPr>
  </w:style>
  <w:style w:type="character" w:customStyle="1" w:styleId="BodyTextIndentChar">
    <w:name w:val="Body Text Indent Char"/>
    <w:basedOn w:val="DefaultParagraphFont"/>
    <w:link w:val="BodyTextIndent"/>
    <w:rsid w:val="008A7168"/>
    <w:rPr>
      <w:rFonts w:ascii="Arial" w:eastAsia="Times New Roman" w:hAnsi="Arial" w:cs="Times New Roman"/>
      <w:szCs w:val="24"/>
    </w:rPr>
  </w:style>
  <w:style w:type="paragraph" w:styleId="BodyTextIndent2">
    <w:name w:val="Body Text Indent 2"/>
    <w:basedOn w:val="Normal"/>
    <w:link w:val="BodyTextIndent2Char"/>
    <w:rsid w:val="008A7168"/>
    <w:pPr>
      <w:spacing w:after="120" w:line="480" w:lineRule="auto"/>
      <w:ind w:left="360"/>
    </w:pPr>
  </w:style>
  <w:style w:type="character" w:customStyle="1" w:styleId="BodyTextIndent2Char">
    <w:name w:val="Body Text Indent 2 Char"/>
    <w:basedOn w:val="DefaultParagraphFont"/>
    <w:link w:val="BodyTextIndent2"/>
    <w:rsid w:val="008A7168"/>
    <w:rPr>
      <w:rFonts w:ascii="Arial" w:eastAsia="Times New Roman" w:hAnsi="Arial" w:cs="Times New Roman"/>
      <w:szCs w:val="24"/>
    </w:rPr>
  </w:style>
  <w:style w:type="paragraph" w:styleId="BodyTextIndent3">
    <w:name w:val="Body Text Indent 3"/>
    <w:basedOn w:val="Normal"/>
    <w:link w:val="BodyTextIndent3Char"/>
    <w:rsid w:val="008A7168"/>
    <w:pPr>
      <w:spacing w:after="120"/>
      <w:ind w:left="360"/>
    </w:pPr>
    <w:rPr>
      <w:sz w:val="16"/>
      <w:szCs w:val="16"/>
    </w:rPr>
  </w:style>
  <w:style w:type="character" w:customStyle="1" w:styleId="BodyTextIndent3Char">
    <w:name w:val="Body Text Indent 3 Char"/>
    <w:basedOn w:val="DefaultParagraphFont"/>
    <w:link w:val="BodyTextIndent3"/>
    <w:rsid w:val="008A7168"/>
    <w:rPr>
      <w:rFonts w:ascii="Arial" w:eastAsia="Times New Roman" w:hAnsi="Arial" w:cs="Times New Roman"/>
      <w:sz w:val="16"/>
      <w:szCs w:val="16"/>
    </w:rPr>
  </w:style>
  <w:style w:type="paragraph" w:customStyle="1" w:styleId="BodyTextPolicyContact">
    <w:name w:val="Body Text Policy Contact"/>
    <w:basedOn w:val="Normal"/>
    <w:qFormat/>
    <w:rsid w:val="008A7168"/>
    <w:pPr>
      <w:spacing w:before="120"/>
    </w:pPr>
    <w:rPr>
      <w:szCs w:val="20"/>
    </w:rPr>
  </w:style>
  <w:style w:type="character" w:styleId="Emphasis">
    <w:name w:val="Emphasis"/>
    <w:basedOn w:val="DefaultParagraphFont"/>
    <w:uiPriority w:val="20"/>
    <w:qFormat/>
    <w:rsid w:val="008A7168"/>
    <w:rPr>
      <w:i/>
      <w:iCs/>
    </w:rPr>
  </w:style>
  <w:style w:type="paragraph" w:styleId="EnvelopeAddress">
    <w:name w:val="envelope address"/>
    <w:basedOn w:val="Normal"/>
    <w:rsid w:val="008A7168"/>
    <w:pPr>
      <w:framePr w:w="7920" w:h="1980" w:hRule="exact" w:hSpace="180" w:wrap="auto" w:hAnchor="page" w:xAlign="center" w:yAlign="bottom"/>
      <w:ind w:left="2880"/>
    </w:pPr>
    <w:rPr>
      <w:rFonts w:eastAsiaTheme="majorEastAsia"/>
      <w:caps/>
      <w:sz w:val="24"/>
      <w:szCs w:val="20"/>
    </w:rPr>
  </w:style>
  <w:style w:type="paragraph" w:customStyle="1" w:styleId="H2">
    <w:name w:val="H2"/>
    <w:basedOn w:val="Normal"/>
    <w:next w:val="Normal"/>
    <w:rsid w:val="008A7168"/>
    <w:pPr>
      <w:keepNext/>
      <w:spacing w:before="100" w:after="100"/>
      <w:outlineLvl w:val="2"/>
    </w:pPr>
    <w:rPr>
      <w:b/>
      <w:snapToGrid w:val="0"/>
      <w:sz w:val="36"/>
    </w:rPr>
  </w:style>
  <w:style w:type="character" w:customStyle="1" w:styleId="Heading4Char">
    <w:name w:val="Heading 4 Char"/>
    <w:link w:val="Heading4"/>
    <w:rsid w:val="008A7168"/>
    <w:rPr>
      <w:rFonts w:ascii="Arial" w:eastAsia="Times New Roman" w:hAnsi="Arial" w:cs="Times New Roman"/>
      <w:szCs w:val="20"/>
    </w:rPr>
  </w:style>
  <w:style w:type="character" w:customStyle="1" w:styleId="Heading5Char">
    <w:name w:val="Heading 5 Char"/>
    <w:link w:val="Heading5"/>
    <w:rsid w:val="008A7168"/>
    <w:rPr>
      <w:rFonts w:ascii="Arial" w:eastAsia="Times New Roman" w:hAnsi="Arial" w:cs="Times New Roman"/>
      <w:szCs w:val="20"/>
    </w:rPr>
  </w:style>
  <w:style w:type="character" w:customStyle="1" w:styleId="Heading6Char">
    <w:name w:val="Heading 6 Char"/>
    <w:link w:val="Heading6"/>
    <w:rsid w:val="008A7168"/>
    <w:rPr>
      <w:rFonts w:ascii="Arial" w:eastAsia="Times New Roman" w:hAnsi="Arial" w:cs="Times New Roman"/>
      <w:szCs w:val="20"/>
    </w:rPr>
  </w:style>
  <w:style w:type="paragraph" w:customStyle="1" w:styleId="Heading61">
    <w:name w:val="Heading 61"/>
    <w:basedOn w:val="Normal"/>
    <w:next w:val="Normal"/>
    <w:semiHidden/>
    <w:unhideWhenUsed/>
    <w:qFormat/>
    <w:rsid w:val="008A7168"/>
    <w:pPr>
      <w:keepNext/>
      <w:keepLines/>
      <w:spacing w:before="40"/>
      <w:outlineLvl w:val="5"/>
    </w:pPr>
    <w:rPr>
      <w:rFonts w:eastAsiaTheme="majorEastAsia" w:cstheme="majorBidi"/>
      <w:color w:val="1F4D78" w:themeColor="accent1" w:themeShade="7F"/>
    </w:rPr>
  </w:style>
  <w:style w:type="paragraph" w:styleId="HTMLPreformatted">
    <w:name w:val="HTML Preformatted"/>
    <w:basedOn w:val="Normal"/>
    <w:link w:val="HTMLPreformattedChar"/>
    <w:rsid w:val="008A7168"/>
    <w:rPr>
      <w:rFonts w:ascii="Courier New" w:hAnsi="Courier New" w:cs="Courier New"/>
      <w:szCs w:val="20"/>
    </w:rPr>
  </w:style>
  <w:style w:type="character" w:customStyle="1" w:styleId="HTMLPreformattedChar">
    <w:name w:val="HTML Preformatted Char"/>
    <w:basedOn w:val="DefaultParagraphFont"/>
    <w:link w:val="HTMLPreformatted"/>
    <w:rsid w:val="008A7168"/>
    <w:rPr>
      <w:rFonts w:ascii="Courier New" w:eastAsia="Times New Roman" w:hAnsi="Courier New" w:cs="Courier New"/>
      <w:szCs w:val="20"/>
    </w:rPr>
  </w:style>
  <w:style w:type="paragraph" w:styleId="NormalWeb">
    <w:name w:val="Normal (Web)"/>
    <w:basedOn w:val="Normal"/>
    <w:autoRedefine/>
    <w:rsid w:val="008A7168"/>
  </w:style>
  <w:style w:type="paragraph" w:styleId="PlainText">
    <w:name w:val="Plain Text"/>
    <w:basedOn w:val="Normal"/>
    <w:link w:val="PlainTextChar"/>
    <w:rsid w:val="008A7168"/>
    <w:rPr>
      <w:rFonts w:ascii="Courier New" w:hAnsi="Courier New" w:cs="Courier New"/>
      <w:szCs w:val="20"/>
    </w:rPr>
  </w:style>
  <w:style w:type="character" w:customStyle="1" w:styleId="PlainTextChar">
    <w:name w:val="Plain Text Char"/>
    <w:basedOn w:val="DefaultParagraphFont"/>
    <w:link w:val="PlainText"/>
    <w:rsid w:val="008A7168"/>
    <w:rPr>
      <w:rFonts w:ascii="Courier New" w:eastAsia="Times New Roman" w:hAnsi="Courier New" w:cs="Courier New"/>
      <w:szCs w:val="20"/>
    </w:rPr>
  </w:style>
  <w:style w:type="paragraph" w:customStyle="1" w:styleId="RelatedPP">
    <w:name w:val="Related P &amp; P"/>
    <w:basedOn w:val="Normal"/>
    <w:next w:val="BodyText"/>
    <w:qFormat/>
    <w:rsid w:val="008A7168"/>
    <w:pPr>
      <w:spacing w:before="120" w:after="120"/>
    </w:pPr>
    <w:rPr>
      <w:b/>
      <w:szCs w:val="20"/>
    </w:rPr>
  </w:style>
  <w:style w:type="character" w:styleId="Strong">
    <w:name w:val="Strong"/>
    <w:basedOn w:val="DefaultParagraphFont"/>
    <w:qFormat/>
    <w:rsid w:val="008A7168"/>
    <w:rPr>
      <w:b/>
      <w:bCs/>
    </w:rPr>
  </w:style>
  <w:style w:type="paragraph" w:styleId="Title">
    <w:name w:val="Title"/>
    <w:basedOn w:val="Normal"/>
    <w:link w:val="TitleChar"/>
    <w:qFormat/>
    <w:rsid w:val="008A716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8A7168"/>
    <w:rPr>
      <w:rFonts w:asciiTheme="majorHAnsi" w:eastAsiaTheme="majorEastAsia" w:hAnsiTheme="majorHAnsi" w:cstheme="majorBidi"/>
      <w:b/>
      <w:bCs/>
      <w:kern w:val="28"/>
      <w:sz w:val="32"/>
      <w:szCs w:val="32"/>
    </w:rPr>
  </w:style>
  <w:style w:type="character" w:styleId="UnresolvedMention">
    <w:name w:val="Unresolved Mention"/>
    <w:basedOn w:val="DefaultParagraphFont"/>
    <w:uiPriority w:val="99"/>
    <w:semiHidden/>
    <w:unhideWhenUsed/>
    <w:rsid w:val="008A7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vc.edu/humanresources/policies-procedures/000-general/000.050-formal-hearing.html" TargetMode="External"/><Relationship Id="rId18" Type="http://schemas.openxmlformats.org/officeDocument/2006/relationships/hyperlink" Target="https://app.leg.wa.gov/rcw/default.aspx?cite=5.60.060" TargetMode="External"/><Relationship Id="rId26" Type="http://schemas.openxmlformats.org/officeDocument/2006/relationships/hyperlink" Target="https://www.wvc.edu/humanresources/policies-procedures/500-human-resources/500.125-equal-opportunity-aa.html" TargetMode="External"/><Relationship Id="rId39" Type="http://schemas.openxmlformats.org/officeDocument/2006/relationships/theme" Target="theme/theme1.xml"/><Relationship Id="rId21" Type="http://schemas.openxmlformats.org/officeDocument/2006/relationships/hyperlink" Target="https://www.wvc.edu/humanresources/policies-procedures/000-general/000.300-freedom-of-inquiry-and-expression.htm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wvc.edu/humanresources/policies-procedures/000-general/000.050-formal-hearing.html" TargetMode="External"/><Relationship Id="rId17" Type="http://schemas.openxmlformats.org/officeDocument/2006/relationships/hyperlink" Target="https://app.leg.wa.gov/WAC/default.aspx?cite=10-08-040" TargetMode="External"/><Relationship Id="rId25" Type="http://schemas.openxmlformats.org/officeDocument/2006/relationships/hyperlink" Target="https://www.wvc.edu/humanresources/policies-procedures/400-student-services/400.100-student-rights-and-responsibilities.html"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leg.wa.gov/rcw/default.aspx?cite=28B.112.070" TargetMode="External"/><Relationship Id="rId20" Type="http://schemas.openxmlformats.org/officeDocument/2006/relationships/hyperlink" Target="https://app.leg.wa.gov/rcw/default.aspx?cite=34.05.542" TargetMode="External"/><Relationship Id="rId29" Type="http://schemas.openxmlformats.org/officeDocument/2006/relationships/hyperlink" Target="https://www.wvc.edu/humanresources/policies-procedures/000-general/000.340-sex-discrimination-title-ix-investigati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policy/rights/reg/ocr/edlite-34cfr106.html" TargetMode="External"/><Relationship Id="rId24" Type="http://schemas.openxmlformats.org/officeDocument/2006/relationships/hyperlink" Target="https://www.wvc.edu/humanresources/policies-procedures/000-general/000.340-sex-discrimination-title-ix-investigation.htm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app.leg.wa.gov/RCW/default.aspx?cite=10.99.020" TargetMode="External"/><Relationship Id="rId23" Type="http://schemas.openxmlformats.org/officeDocument/2006/relationships/hyperlink" Target="https://www.wvc.edu/humanresources/policies-procedures/000-general/000.330-discrimination-and-discriminatory-harassment.html" TargetMode="External"/><Relationship Id="rId28" Type="http://schemas.openxmlformats.org/officeDocument/2006/relationships/hyperlink" Target="https://www.wvc.edu/humanresources/policies-procedures/000-general/000.330-discrimination-and-discriminatory-harassment.html"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app.leg.wa.gov/rcw/default.aspx?cite=34.05" TargetMode="External"/><Relationship Id="rId31" Type="http://schemas.openxmlformats.org/officeDocument/2006/relationships/hyperlink" Target="https://www.wvc.edu/humanresources/policies-procedures/400-student-services/1400.110-code-of-student-conduc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eg.wa.gov/RCW/default.aspx?cite=28B.50.863" TargetMode="External"/><Relationship Id="rId22" Type="http://schemas.openxmlformats.org/officeDocument/2006/relationships/hyperlink" Target="https://www.wvc.edu/humanresources/policies-procedures/000-general/000.320-pregnancy-discrimination.html" TargetMode="External"/><Relationship Id="rId27" Type="http://schemas.openxmlformats.org/officeDocument/2006/relationships/hyperlink" Target="https://www.wvc.edu/humanresources/policies-procedures/000-general/000.320-pregnancy-discrimination.html" TargetMode="External"/><Relationship Id="rId30" Type="http://schemas.openxmlformats.org/officeDocument/2006/relationships/hyperlink" Target="https://www.wvc.edu/humanresources/policies-procedures/400-student-services/1400.100-student-rights-freedoms.html"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apps.leg.wa.gov/WAC/default.aspx?cite=1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4100C2006774BA55FA44DBCF70B90" ma:contentTypeVersion="16" ma:contentTypeDescription="Create a new document." ma:contentTypeScope="" ma:versionID="1bdc5436f1f8922e5abd01a161fa7842">
  <xsd:schema xmlns:xsd="http://www.w3.org/2001/XMLSchema" xmlns:xs="http://www.w3.org/2001/XMLSchema" xmlns:p="http://schemas.microsoft.com/office/2006/metadata/properties" xmlns:ns2="704d1e5b-baef-4bdf-9bb9-31ac845a848c" xmlns:ns3="5696a800-f59b-4916-a13f-19c8ccd811cb" targetNamespace="http://schemas.microsoft.com/office/2006/metadata/properties" ma:root="true" ma:fieldsID="92893b8bdbc076e68953ed55d141f538" ns2:_="" ns3:_="">
    <xsd:import namespace="704d1e5b-baef-4bdf-9bb9-31ac845a848c"/>
    <xsd:import namespace="5696a800-f59b-4916-a13f-19c8ccd811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1e5b-baef-4bdf-9bb9-31ac845a8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6a800-f59b-4916-a13f-19c8ccd811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f62d3c7-6e5b-41ad-bc06-0bcd510430bf}" ma:internalName="TaxCatchAll" ma:showField="CatchAllData" ma:web="5696a800-f59b-4916-a13f-19c8ccd81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96a800-f59b-4916-a13f-19c8ccd811cb" xsi:nil="true"/>
    <lcf76f155ced4ddcb4097134ff3c332f xmlns="704d1e5b-baef-4bdf-9bb9-31ac845a848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CCEC2-F06F-416C-B468-3F916573B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1e5b-baef-4bdf-9bb9-31ac845a848c"/>
    <ds:schemaRef ds:uri="5696a800-f59b-4916-a13f-19c8ccd8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759B4-92B8-4E98-8759-BC84114FC2C5}">
  <ds:schemaRefs>
    <ds:schemaRef ds:uri="http://schemas.openxmlformats.org/officeDocument/2006/bibliography"/>
  </ds:schemaRefs>
</ds:datastoreItem>
</file>

<file path=customXml/itemProps3.xml><?xml version="1.0" encoding="utf-8"?>
<ds:datastoreItem xmlns:ds="http://schemas.openxmlformats.org/officeDocument/2006/customXml" ds:itemID="{5485743E-4946-4128-94E0-ED6446D1FB82}">
  <ds:schemaRefs>
    <ds:schemaRef ds:uri="http://schemas.microsoft.com/office/2006/metadata/properties"/>
    <ds:schemaRef ds:uri="http://schemas.microsoft.com/office/infopath/2007/PartnerControls"/>
    <ds:schemaRef ds:uri="5696a800-f59b-4916-a13f-19c8ccd811cb"/>
    <ds:schemaRef ds:uri="704d1e5b-baef-4bdf-9bb9-31ac845a848c"/>
  </ds:schemaRefs>
</ds:datastoreItem>
</file>

<file path=customXml/itemProps4.xml><?xml version="1.0" encoding="utf-8"?>
<ds:datastoreItem xmlns:ds="http://schemas.openxmlformats.org/officeDocument/2006/customXml" ds:itemID="{3C745439-2C3A-4543-BD96-2556FE5E5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Pages>
  <Words>3907</Words>
  <Characters>22275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Bruce (ATG)</dc:creator>
  <cp:keywords/>
  <dc:description/>
  <cp:lastModifiedBy>Tim Marker</cp:lastModifiedBy>
  <cp:revision>14</cp:revision>
  <cp:lastPrinted>2024-07-03T18:34:00Z</cp:lastPrinted>
  <dcterms:created xsi:type="dcterms:W3CDTF">2024-07-24T19:52:00Z</dcterms:created>
  <dcterms:modified xsi:type="dcterms:W3CDTF">2024-11-02T18:39:00Z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0x0101000774100C2006774BA55FA44DBCF70B90</vt:lpwstr>
  </property>
</Properties>
</file>