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DA5B" w14:textId="77777777" w:rsidR="0046755C" w:rsidRPr="00B8322A" w:rsidRDefault="007750CF" w:rsidP="009A1C6F">
      <w:pPr>
        <w:pStyle w:val="Heading1"/>
      </w:pPr>
      <w:r w:rsidRPr="006811F1">
        <w:t>15</w:t>
      </w:r>
      <w:r w:rsidR="001D46A9">
        <w:t>4</w:t>
      </w:r>
      <w:r w:rsidRPr="006811F1">
        <w:t>0.</w:t>
      </w:r>
      <w:r w:rsidR="00600DD1">
        <w:t>06</w:t>
      </w:r>
      <w:r w:rsidR="001D46A9">
        <w:t>0</w:t>
      </w:r>
      <w:r w:rsidR="009F4B99">
        <w:tab/>
      </w:r>
      <w:r w:rsidR="00DB741D">
        <w:t xml:space="preserve">CLASSIFIED PROBATIONARY </w:t>
      </w:r>
      <w:r w:rsidR="00D240BD">
        <w:t>&amp;</w:t>
      </w:r>
      <w:r w:rsidR="00DB741D">
        <w:t xml:space="preserve"> TRIAL SERVICE PERIOD PROCEDURE</w:t>
      </w:r>
    </w:p>
    <w:p w14:paraId="17E5B964" w14:textId="77777777" w:rsidR="009F4B99" w:rsidRPr="003877CA" w:rsidRDefault="009F4B99" w:rsidP="00F32717">
      <w:pPr>
        <w:pStyle w:val="BodyTextItalic"/>
      </w:pPr>
      <w:r w:rsidRPr="003877CA">
        <w:t>To the extent that this policy addresses terms or provisions covered under collective bargaining agreements for represented employees, the terms of the collective bargaining agreement will control for those represented classified employees.</w:t>
      </w:r>
    </w:p>
    <w:p w14:paraId="6305ED1E" w14:textId="77777777" w:rsidR="00D948E1" w:rsidRDefault="00D076A7" w:rsidP="00D076A7">
      <w:pPr>
        <w:pStyle w:val="Heading2"/>
      </w:pPr>
      <w:r>
        <w:t>A.</w:t>
      </w:r>
      <w:r>
        <w:tab/>
        <w:t>PURPOSE</w:t>
      </w:r>
    </w:p>
    <w:p w14:paraId="75669626" w14:textId="77777777" w:rsidR="00D948E1" w:rsidRPr="00D948E1" w:rsidRDefault="00D948E1" w:rsidP="00892EBD">
      <w:pPr>
        <w:pStyle w:val="BodyText025"/>
      </w:pPr>
      <w:r w:rsidRPr="00D948E1">
        <w:t>The interest of Wenatchee Valley College and the students it serves is best promoted when we provide the optimum circumstance for the initial learning and orientation of employees appointed to new positions.</w:t>
      </w:r>
      <w:r w:rsidR="00F32717">
        <w:t xml:space="preserve"> </w:t>
      </w:r>
      <w:r w:rsidRPr="00D948E1">
        <w:t>Probationary and trial service periods provide the college an opportunity to observe and evaluate an employee’s skills, abilities, working subject knowledge and future potential during the critical first months of employment or appointment to a new position.</w:t>
      </w:r>
      <w:r w:rsidR="00F32717">
        <w:t xml:space="preserve"> </w:t>
      </w:r>
      <w:r w:rsidRPr="00D948E1">
        <w:t xml:space="preserve">Flexibility in the length of probationary and trial service periods allows </w:t>
      </w:r>
      <w:r w:rsidR="000206FE" w:rsidRPr="00D948E1">
        <w:t>the</w:t>
      </w:r>
      <w:r w:rsidRPr="00D948E1">
        <w:t xml:space="preserve"> ability to accommodate various circumstances and provide an employee additional training or mentoring in order to meet the performance expectations of the position.</w:t>
      </w:r>
      <w:r w:rsidR="00F32717">
        <w:t xml:space="preserve"> </w:t>
      </w:r>
    </w:p>
    <w:p w14:paraId="7B9B327A" w14:textId="77777777" w:rsidR="009207E1" w:rsidRPr="00435B2A" w:rsidRDefault="00D076A7" w:rsidP="00D076A7">
      <w:pPr>
        <w:pStyle w:val="Heading2"/>
      </w:pPr>
      <w:r>
        <w:t>B</w:t>
      </w:r>
      <w:r w:rsidR="00404E39">
        <w:t>.</w:t>
      </w:r>
      <w:r>
        <w:tab/>
      </w:r>
      <w:r w:rsidRPr="00435B2A">
        <w:t>DEFINITIONS</w:t>
      </w:r>
    </w:p>
    <w:p w14:paraId="0BEC6A22" w14:textId="77777777" w:rsidR="009207E1" w:rsidRDefault="009207E1" w:rsidP="00892EBD">
      <w:pPr>
        <w:pStyle w:val="BodyText025"/>
      </w:pPr>
      <w:r w:rsidRPr="00404E39">
        <w:rPr>
          <w:b/>
        </w:rPr>
        <w:t>Probationary Period:</w:t>
      </w:r>
      <w:r w:rsidRPr="0004506B">
        <w:t xml:space="preserve"> </w:t>
      </w:r>
      <w:r w:rsidR="0004506B" w:rsidRPr="0004506B">
        <w:t>The initial period of employment following certification and appointment to, or reemployment in, the classified service.</w:t>
      </w:r>
    </w:p>
    <w:p w14:paraId="07B05EEA" w14:textId="40636F9B" w:rsidR="00FE1924" w:rsidRPr="0004506B" w:rsidRDefault="00FE1924" w:rsidP="00892EBD">
      <w:pPr>
        <w:pStyle w:val="BodyText025"/>
      </w:pPr>
      <w:r w:rsidRPr="00404E39">
        <w:rPr>
          <w:b/>
          <w:szCs w:val="22"/>
        </w:rPr>
        <w:t>Trial Service Period:</w:t>
      </w:r>
      <w:r w:rsidRPr="0004506B">
        <w:rPr>
          <w:szCs w:val="22"/>
        </w:rPr>
        <w:t xml:space="preserve"> </w:t>
      </w:r>
      <w:r w:rsidRPr="0004506B">
        <w:t xml:space="preserve">The initial period of employment following </w:t>
      </w:r>
      <w:r w:rsidR="00683889">
        <w:t xml:space="preserve">a </w:t>
      </w:r>
      <w:r w:rsidRPr="0004506B">
        <w:t>promotional appointment to a position in a new class</w:t>
      </w:r>
      <w:r w:rsidR="00683889">
        <w:t>,</w:t>
      </w:r>
      <w:r w:rsidRPr="0004506B">
        <w:t xml:space="preserve"> a transfer</w:t>
      </w:r>
      <w:r w:rsidR="00683889">
        <w:t>,</w:t>
      </w:r>
      <w:r w:rsidRPr="0004506B">
        <w:t xml:space="preserve"> voluntary demotion</w:t>
      </w:r>
      <w:r w:rsidR="00683889">
        <w:t xml:space="preserve">, or </w:t>
      </w:r>
      <w:r>
        <w:t>.</w:t>
      </w:r>
      <w:r w:rsidR="00683889">
        <w:t xml:space="preserve">elevation when required by the college under the provisions of </w:t>
      </w:r>
      <w:hyperlink r:id="rId11" w:history="1">
        <w:r w:rsidR="00683889" w:rsidRPr="00704927">
          <w:rPr>
            <w:rStyle w:val="Hyperlink"/>
            <w:szCs w:val="18"/>
          </w:rPr>
          <w:t>WAC 357-19-030</w:t>
        </w:r>
      </w:hyperlink>
      <w:r w:rsidR="00683889">
        <w:t>, or an appointment within two years of separation due to layoff to a position with a higher salary range maximum than the position the employee was laid off from.</w:t>
      </w:r>
    </w:p>
    <w:p w14:paraId="1435F234" w14:textId="77777777" w:rsidR="00E14505" w:rsidRPr="0004506B" w:rsidRDefault="00E14505" w:rsidP="00892EBD">
      <w:pPr>
        <w:pStyle w:val="BodyText025"/>
        <w:rPr>
          <w:szCs w:val="22"/>
        </w:rPr>
      </w:pPr>
      <w:r w:rsidRPr="00404E39">
        <w:rPr>
          <w:b/>
        </w:rPr>
        <w:t>Reversion:</w:t>
      </w:r>
      <w:r w:rsidRPr="0004506B">
        <w:t xml:space="preserve"> Voluntary or involuntary movement of an employee during the trial service period resulting in placement in a position or on the employer's internal layoff list.</w:t>
      </w:r>
    </w:p>
    <w:p w14:paraId="74997B65" w14:textId="77777777" w:rsidR="009207E1" w:rsidRPr="00CE6BF9" w:rsidRDefault="00D076A7" w:rsidP="00D076A7">
      <w:pPr>
        <w:pStyle w:val="Heading2"/>
      </w:pPr>
      <w:r>
        <w:t>C.</w:t>
      </w:r>
      <w:r>
        <w:tab/>
      </w:r>
      <w:r w:rsidRPr="00CE6BF9">
        <w:t xml:space="preserve">RESPONSIBILITIES </w:t>
      </w:r>
    </w:p>
    <w:p w14:paraId="3F1FCEF9" w14:textId="77777777" w:rsidR="009207E1" w:rsidRPr="00CB38F0" w:rsidRDefault="00EB329B" w:rsidP="00892EBD">
      <w:pPr>
        <w:pStyle w:val="BodyText025"/>
      </w:pPr>
      <w:r>
        <w:t>It is the res</w:t>
      </w:r>
      <w:r w:rsidR="001660B4">
        <w:t xml:space="preserve">ponsibility of each </w:t>
      </w:r>
      <w:r>
        <w:t xml:space="preserve">supervisor to ensure appropriate orientation and training is given to an employee appointed to a new position who is serving a probationary or </w:t>
      </w:r>
      <w:r w:rsidRPr="00CB38F0">
        <w:t>trial service period.</w:t>
      </w:r>
    </w:p>
    <w:p w14:paraId="4253F4E8" w14:textId="77777777" w:rsidR="009207E1" w:rsidRPr="00E858D0" w:rsidRDefault="009207E1" w:rsidP="00892EBD">
      <w:pPr>
        <w:pStyle w:val="BodyText025"/>
      </w:pPr>
      <w:r w:rsidRPr="00E858D0">
        <w:t>It is the responsibility of the employee to meet and strive to exceed the standards established for work accomplishment and conduct, to improve work effectiveness, and to perform at the highest competency levels possible by the end of the probationary or trial service period and throughout his/her employme</w:t>
      </w:r>
      <w:r w:rsidR="00AF6750">
        <w:t>nt.</w:t>
      </w:r>
    </w:p>
    <w:p w14:paraId="29E748F1" w14:textId="77777777" w:rsidR="009207E1" w:rsidRPr="00F909C8" w:rsidRDefault="00D076A7" w:rsidP="00D076A7">
      <w:pPr>
        <w:pStyle w:val="Heading2"/>
      </w:pPr>
      <w:r>
        <w:t>D</w:t>
      </w:r>
      <w:r w:rsidRPr="00F909C8">
        <w:t>.</w:t>
      </w:r>
      <w:r w:rsidRPr="00F909C8">
        <w:tab/>
        <w:t>PROBATIONARY AND TRIAL SERVICE PERIODS</w:t>
      </w:r>
    </w:p>
    <w:p w14:paraId="28E6052B" w14:textId="77777777" w:rsidR="00CE6BF9" w:rsidRDefault="00834694" w:rsidP="00892EBD">
      <w:pPr>
        <w:pStyle w:val="BodyText025"/>
      </w:pPr>
      <w:r>
        <w:t>The s</w:t>
      </w:r>
      <w:r w:rsidR="00CE6BF9" w:rsidRPr="00CE6BF9">
        <w:t>tandard</w:t>
      </w:r>
      <w:r>
        <w:t xml:space="preserve"> probationary and</w:t>
      </w:r>
      <w:r w:rsidR="00CE6BF9" w:rsidRPr="00CE6BF9">
        <w:t xml:space="preserve"> trial service periods for a class are for p</w:t>
      </w:r>
      <w:r w:rsidR="001835F7">
        <w:t>eriods of six to 12</w:t>
      </w:r>
      <w:r w:rsidR="00CE6BF9" w:rsidRPr="00CE6BF9">
        <w:t xml:space="preserve"> months.</w:t>
      </w:r>
      <w:r w:rsidR="001835F7">
        <w:t xml:space="preserve"> (</w:t>
      </w:r>
      <w:hyperlink r:id="rId12" w:history="1">
        <w:r w:rsidR="001835F7" w:rsidRPr="00EF2D74">
          <w:rPr>
            <w:rStyle w:val="Hyperlink"/>
          </w:rPr>
          <w:t>WAC 357-19-040</w:t>
        </w:r>
      </w:hyperlink>
      <w:r w:rsidR="001835F7">
        <w:t xml:space="preserve">, </w:t>
      </w:r>
      <w:hyperlink r:id="rId13" w:history="1">
        <w:r w:rsidR="001835F7" w:rsidRPr="00EF2D74">
          <w:rPr>
            <w:rStyle w:val="Hyperlink"/>
          </w:rPr>
          <w:t>050</w:t>
        </w:r>
      </w:hyperlink>
      <w:r w:rsidR="001835F7">
        <w:t>)</w:t>
      </w:r>
      <w:r>
        <w:t>.</w:t>
      </w:r>
      <w:r w:rsidR="00F32717">
        <w:t xml:space="preserve"> </w:t>
      </w:r>
      <w:r>
        <w:t>Employees will serve the initial probationary or trial service period as described in their letter of appointment.</w:t>
      </w:r>
    </w:p>
    <w:p w14:paraId="1B60FE44" w14:textId="77777777" w:rsidR="00122BFE" w:rsidRDefault="00122BFE" w:rsidP="00892EBD">
      <w:pPr>
        <w:pStyle w:val="BodyText025"/>
      </w:pPr>
      <w:r>
        <w:t>Extensions of probationary or trial service periods can be made for the following reasons:</w:t>
      </w:r>
    </w:p>
    <w:p w14:paraId="730740A8" w14:textId="77777777" w:rsidR="00122BFE" w:rsidRDefault="00122BFE" w:rsidP="00F32717">
      <w:pPr>
        <w:pStyle w:val="Heading3"/>
      </w:pPr>
      <w:r>
        <w:t>1.</w:t>
      </w:r>
      <w:r>
        <w:tab/>
      </w:r>
      <w:r w:rsidR="00834694">
        <w:t xml:space="preserve">Entire Classification </w:t>
      </w:r>
      <w:r w:rsidR="00834694" w:rsidRPr="00CE6BF9">
        <w:t>(</w:t>
      </w:r>
      <w:hyperlink r:id="rId14" w:history="1">
        <w:r w:rsidR="00834694" w:rsidRPr="0033715A">
          <w:rPr>
            <w:rStyle w:val="Hyperlink"/>
          </w:rPr>
          <w:t>WAC 357-19-045</w:t>
        </w:r>
      </w:hyperlink>
      <w:r w:rsidR="00834694" w:rsidRPr="00CE6BF9">
        <w:t>)</w:t>
      </w:r>
    </w:p>
    <w:p w14:paraId="78485195" w14:textId="77777777" w:rsidR="00CE6BF9" w:rsidRDefault="00CE6BF9" w:rsidP="009A1C6F">
      <w:pPr>
        <w:pStyle w:val="BodyText05"/>
      </w:pPr>
      <w:r w:rsidRPr="00CE6BF9">
        <w:t>Human resources may extend the probationary or trial service period for an entir</w:t>
      </w:r>
      <w:r w:rsidR="00834694">
        <w:t xml:space="preserve">e class for up to a total </w:t>
      </w:r>
      <w:r w:rsidR="001660B4">
        <w:t xml:space="preserve">of </w:t>
      </w:r>
      <w:r w:rsidR="00834694">
        <w:t>12 months</w:t>
      </w:r>
      <w:r w:rsidRPr="00CE6BF9">
        <w:t xml:space="preserve"> if, due to the nature of job responsibilities, work cycle, and/or business and operational needs of the </w:t>
      </w:r>
      <w:r w:rsidR="00834694">
        <w:t>college</w:t>
      </w:r>
      <w:r w:rsidRPr="00CE6BF9">
        <w:t>, the standard probationary and/or trial service period does not provide an adequate tim</w:t>
      </w:r>
      <w:r w:rsidR="00834694">
        <w:t>e frame to evaluate an employee’</w:t>
      </w:r>
      <w:r w:rsidRPr="00CE6BF9">
        <w:t>s performance.</w:t>
      </w:r>
    </w:p>
    <w:p w14:paraId="096EB858" w14:textId="77777777" w:rsidR="00952D3A" w:rsidRDefault="00CE6BF9" w:rsidP="00F32717">
      <w:pPr>
        <w:pStyle w:val="Heading3"/>
      </w:pPr>
      <w:r w:rsidRPr="00CE6BF9">
        <w:t>2.</w:t>
      </w:r>
      <w:r w:rsidR="00834694">
        <w:tab/>
      </w:r>
      <w:r w:rsidR="00952D3A">
        <w:t xml:space="preserve">Individual Position - </w:t>
      </w:r>
      <w:r w:rsidRPr="00CE6BF9">
        <w:t xml:space="preserve">Probationary </w:t>
      </w:r>
      <w:r w:rsidR="00952D3A">
        <w:t>Period (</w:t>
      </w:r>
      <w:hyperlink r:id="rId15" w:history="1">
        <w:r w:rsidR="00952D3A" w:rsidRPr="0033715A">
          <w:rPr>
            <w:rStyle w:val="Hyperlink"/>
          </w:rPr>
          <w:t>WAC 357-19-045</w:t>
        </w:r>
      </w:hyperlink>
      <w:r w:rsidR="00952D3A">
        <w:t>)</w:t>
      </w:r>
    </w:p>
    <w:p w14:paraId="77A2BB24" w14:textId="2C9392D5" w:rsidR="00122BFE" w:rsidRDefault="00233BFA" w:rsidP="009A1C6F">
      <w:pPr>
        <w:pStyle w:val="BodyText05"/>
      </w:pPr>
      <w:r>
        <w:lastRenderedPageBreak/>
        <w:t>An</w:t>
      </w:r>
      <w:r w:rsidR="00CE6BF9" w:rsidRPr="00CE6BF9">
        <w:t xml:space="preserve"> employee </w:t>
      </w:r>
      <w:r>
        <w:t xml:space="preserve">who does not have permanent status that is </w:t>
      </w:r>
      <w:r w:rsidR="00CE6BF9" w:rsidRPr="00CE6BF9">
        <w:t xml:space="preserve">appointed to a </w:t>
      </w:r>
      <w:r w:rsidR="009A1C6F">
        <w:t xml:space="preserve">permanent or project </w:t>
      </w:r>
      <w:r w:rsidR="00CE6BF9" w:rsidRPr="00CE6BF9">
        <w:t xml:space="preserve">position </w:t>
      </w:r>
      <w:r>
        <w:t>will</w:t>
      </w:r>
      <w:r w:rsidR="00CE6BF9" w:rsidRPr="00CE6BF9">
        <w:t xml:space="preserve"> serve a probationary period of a minimum of six months.</w:t>
      </w:r>
      <w:r w:rsidR="00F32717">
        <w:t xml:space="preserve"> </w:t>
      </w:r>
      <w:r w:rsidR="00CE6BF9" w:rsidRPr="00CE6BF9">
        <w:t>Th</w:t>
      </w:r>
      <w:r w:rsidR="00FE1924">
        <w:t>e probationary period</w:t>
      </w:r>
      <w:r w:rsidR="00CE6BF9" w:rsidRPr="00CE6BF9">
        <w:t xml:space="preserve"> may be extended for up t</w:t>
      </w:r>
      <w:r w:rsidR="00952D3A">
        <w:t xml:space="preserve">o a total of </w:t>
      </w:r>
      <w:r w:rsidR="00CE6BF9" w:rsidRPr="00CE6BF9">
        <w:t>12 months, with the approval of human resources, for an individual whose</w:t>
      </w:r>
      <w:r w:rsidR="001660B4">
        <w:t xml:space="preserve"> performance indicates deficiencies</w:t>
      </w:r>
      <w:r w:rsidR="00CE6BF9" w:rsidRPr="00CE6BF9">
        <w:t xml:space="preserve"> that additional training and/or experience may correct, or when unexpected circumstances occur which warrant exte</w:t>
      </w:r>
      <w:r w:rsidR="00FE1924">
        <w:t>nsion</w:t>
      </w:r>
      <w:r w:rsidR="00CE6BF9" w:rsidRPr="00CE6BF9">
        <w:t>.</w:t>
      </w:r>
      <w:r w:rsidR="00F32717">
        <w:t xml:space="preserve"> </w:t>
      </w:r>
      <w:r w:rsidR="009274E6">
        <w:t xml:space="preserve">If the extension is based on performance issues, the supervisor will provide written information to the employee about the needed improvement(s). </w:t>
      </w:r>
      <w:r w:rsidR="00CE6BF9" w:rsidRPr="00CE6BF9">
        <w:t xml:space="preserve">Extending the probationary period does not preclude the </w:t>
      </w:r>
      <w:r w:rsidR="00952D3A">
        <w:t>college</w:t>
      </w:r>
      <w:r w:rsidR="00CE6BF9" w:rsidRPr="00CE6BF9">
        <w:t xml:space="preserve"> from terminating an employee at any time during the extension period.</w:t>
      </w:r>
    </w:p>
    <w:p w14:paraId="38F2569B" w14:textId="77777777" w:rsidR="00952D3A" w:rsidRDefault="00952D3A" w:rsidP="00F32717">
      <w:pPr>
        <w:pStyle w:val="Heading3"/>
      </w:pPr>
      <w:r>
        <w:t>3.</w:t>
      </w:r>
      <w:r>
        <w:tab/>
        <w:t xml:space="preserve">Individual Position - </w:t>
      </w:r>
      <w:r w:rsidR="00CE6BF9" w:rsidRPr="00CE6BF9">
        <w:t xml:space="preserve">Trial Service Period </w:t>
      </w:r>
      <w:r>
        <w:t>(</w:t>
      </w:r>
      <w:hyperlink r:id="rId16" w:history="1">
        <w:r w:rsidR="00CE6BF9" w:rsidRPr="0033715A">
          <w:rPr>
            <w:rStyle w:val="Hyperlink"/>
          </w:rPr>
          <w:t>WAC 357-19-060</w:t>
        </w:r>
      </w:hyperlink>
      <w:r>
        <w:t>)</w:t>
      </w:r>
    </w:p>
    <w:p w14:paraId="43F13BF8" w14:textId="4ADCF65C" w:rsidR="00CE6BF9" w:rsidRPr="00F909C8" w:rsidRDefault="00CE6BF9" w:rsidP="009A1C6F">
      <w:pPr>
        <w:pStyle w:val="BodyText05"/>
      </w:pPr>
      <w:r w:rsidRPr="00F909C8">
        <w:t xml:space="preserve">A permanent employee who </w:t>
      </w:r>
      <w:r w:rsidR="00003419" w:rsidRPr="00F909C8">
        <w:t>is promoted to a classification within the college in which they have not held permanent status will</w:t>
      </w:r>
      <w:r w:rsidRPr="00F909C8">
        <w:t xml:space="preserve"> serve a trial service</w:t>
      </w:r>
      <w:r w:rsidR="00952D3A" w:rsidRPr="00F909C8">
        <w:t xml:space="preserve"> period of a minimum of six </w:t>
      </w:r>
      <w:r w:rsidRPr="00F909C8">
        <w:t>months</w:t>
      </w:r>
      <w:r w:rsidR="00003419" w:rsidRPr="00F909C8">
        <w:t>.</w:t>
      </w:r>
      <w:r w:rsidR="00F32717">
        <w:t xml:space="preserve"> </w:t>
      </w:r>
      <w:r w:rsidR="00003419" w:rsidRPr="00F909C8">
        <w:t>A permanent employee who is promoted, transferred</w:t>
      </w:r>
      <w:r w:rsidR="0086799B">
        <w:t>, elevated</w:t>
      </w:r>
      <w:r w:rsidR="00003419" w:rsidRPr="00F909C8">
        <w:t xml:space="preserve"> or demoted to a position for which they have not previously attained permanent status, will be required to serve an initial trial service period of a minimum of six months </w:t>
      </w:r>
      <w:r w:rsidRPr="00F909C8">
        <w:t>unless otherwise authorized by human resources.</w:t>
      </w:r>
      <w:r w:rsidR="00F32717">
        <w:t xml:space="preserve"> </w:t>
      </w:r>
      <w:r w:rsidRPr="00F909C8">
        <w:t>Th</w:t>
      </w:r>
      <w:r w:rsidR="00FE1924">
        <w:t>e trial service period</w:t>
      </w:r>
      <w:r w:rsidRPr="00F909C8">
        <w:t xml:space="preserve"> may be extended for up to a total of </w:t>
      </w:r>
      <w:r w:rsidR="00952D3A" w:rsidRPr="00F909C8">
        <w:t>1</w:t>
      </w:r>
      <w:r w:rsidRPr="00F909C8">
        <w:t>2 months, with the approval of human resources, for an individual whose performance evaluati</w:t>
      </w:r>
      <w:r w:rsidR="001660B4">
        <w:t>on indicates deficiencies</w:t>
      </w:r>
      <w:r w:rsidRPr="00F909C8">
        <w:t xml:space="preserve"> that additional training and/or experience may correct, or when unexpected circumstances occur which warrant exten</w:t>
      </w:r>
      <w:r w:rsidR="00FE1924">
        <w:t>sion</w:t>
      </w:r>
      <w:r w:rsidRPr="00F909C8">
        <w:t>.</w:t>
      </w:r>
      <w:r w:rsidR="00F32717">
        <w:t xml:space="preserve"> </w:t>
      </w:r>
      <w:r w:rsidR="009274E6">
        <w:t xml:space="preserve">If the extension is based on performance issues, the supervisor will provide written information to the employee about the needed improvement(s). </w:t>
      </w:r>
      <w:r w:rsidRPr="00F909C8">
        <w:t>Extending the trial service period do</w:t>
      </w:r>
      <w:r w:rsidR="00952D3A" w:rsidRPr="00F909C8">
        <w:t>es not preclude the college</w:t>
      </w:r>
      <w:r w:rsidRPr="00F909C8">
        <w:t xml:space="preserve"> fr</w:t>
      </w:r>
      <w:r w:rsidR="00952D3A" w:rsidRPr="00F909C8">
        <w:t>om reverting an employee at an</w:t>
      </w:r>
      <w:r w:rsidR="001660B4">
        <w:t xml:space="preserve">y time during the </w:t>
      </w:r>
      <w:r w:rsidR="00952D3A" w:rsidRPr="00F909C8">
        <w:t>extension period.</w:t>
      </w:r>
    </w:p>
    <w:p w14:paraId="189673C2" w14:textId="77777777" w:rsidR="00952D3A" w:rsidRPr="00CB38F0" w:rsidRDefault="00CB38F0" w:rsidP="00892EBD">
      <w:pPr>
        <w:pStyle w:val="BodyText025"/>
      </w:pPr>
      <w:r w:rsidRPr="00CB38F0">
        <w:t xml:space="preserve">If an employee uses leave without pay for an entire workshift while serving a probationary period or trial service period, the probationary </w:t>
      </w:r>
      <w:r w:rsidR="00FE1924">
        <w:t>or</w:t>
      </w:r>
      <w:r w:rsidRPr="00CB38F0">
        <w:t xml:space="preserve"> trial service period is extended by one </w:t>
      </w:r>
      <w:r w:rsidR="000206FE" w:rsidRPr="00CB38F0">
        <w:t>workday</w:t>
      </w:r>
      <w:r w:rsidRPr="00CB38F0">
        <w:t xml:space="preserve"> for each </w:t>
      </w:r>
      <w:r w:rsidR="000206FE" w:rsidRPr="00CB38F0">
        <w:t>work shift</w:t>
      </w:r>
      <w:r w:rsidRPr="00CB38F0">
        <w:t xml:space="preserve"> of leave without pay.</w:t>
      </w:r>
      <w:r w:rsidR="00952D3A" w:rsidRPr="00CB38F0">
        <w:t xml:space="preserve"> </w:t>
      </w:r>
      <w:r w:rsidRPr="00CB38F0">
        <w:t>(</w:t>
      </w:r>
      <w:hyperlink r:id="rId17" w:history="1">
        <w:r w:rsidRPr="0033715A">
          <w:rPr>
            <w:rStyle w:val="Hyperlink"/>
          </w:rPr>
          <w:t>WAC 357-31-355</w:t>
        </w:r>
      </w:hyperlink>
      <w:r w:rsidRPr="00CB38F0">
        <w:t>)</w:t>
      </w:r>
    </w:p>
    <w:p w14:paraId="5EE3AB12" w14:textId="77777777" w:rsidR="006F2E83" w:rsidRDefault="00D076A7" w:rsidP="00D076A7">
      <w:pPr>
        <w:pStyle w:val="Heading2"/>
      </w:pPr>
      <w:r>
        <w:t>E.</w:t>
      </w:r>
      <w:r>
        <w:tab/>
        <w:t>CONTINUATION OR REASSIGNMENT DURING A PROBATIONARY OR TRIAL SERVICE PERIOD</w:t>
      </w:r>
    </w:p>
    <w:p w14:paraId="5F26CA52" w14:textId="77777777" w:rsidR="00F11A13" w:rsidRDefault="00CC2BCF" w:rsidP="00F32717">
      <w:pPr>
        <w:pStyle w:val="Heading3"/>
      </w:pPr>
      <w:r>
        <w:t>1.</w:t>
      </w:r>
      <w:r>
        <w:tab/>
      </w:r>
      <w:r w:rsidR="006F2E83" w:rsidRPr="00F909C8">
        <w:t xml:space="preserve">If an </w:t>
      </w:r>
      <w:r w:rsidR="005A6D3C" w:rsidRPr="00F909C8">
        <w:t>employee accepts an appointment to another permanent position with</w:t>
      </w:r>
      <w:r w:rsidR="0071492B" w:rsidRPr="00F909C8">
        <w:t>in the college</w:t>
      </w:r>
      <w:r w:rsidR="005A6D3C" w:rsidRPr="00F909C8">
        <w:t xml:space="preserve"> while serving a probationary or tria</w:t>
      </w:r>
      <w:r w:rsidR="00101E7E">
        <w:t>l service period, the probationary or trial service period will start over with the new appointment.</w:t>
      </w:r>
      <w:r w:rsidR="00F32717">
        <w:t xml:space="preserve"> </w:t>
      </w:r>
      <w:r>
        <w:t>However, i</w:t>
      </w:r>
      <w:r w:rsidR="00F11A13">
        <w:t xml:space="preserve">f the college determines that the new position is closely related to the former position, the college may count time served in the initial probationary or trial service </w:t>
      </w:r>
      <w:r>
        <w:t xml:space="preserve">period </w:t>
      </w:r>
      <w:r w:rsidR="00F11A13">
        <w:t>toward the probationary or trial servi</w:t>
      </w:r>
      <w:r w:rsidR="003877CA">
        <w:t xml:space="preserve">ce period of the new position. </w:t>
      </w:r>
      <w:r w:rsidR="003877CA" w:rsidRPr="003877CA">
        <w:t>(</w:t>
      </w:r>
      <w:hyperlink r:id="rId18" w:history="1">
        <w:r w:rsidR="003877CA" w:rsidRPr="003877CA">
          <w:rPr>
            <w:rStyle w:val="Hyperlink"/>
          </w:rPr>
          <w:t>WAC 357-19-070</w:t>
        </w:r>
      </w:hyperlink>
      <w:r w:rsidR="003877CA" w:rsidRPr="003877CA">
        <w:t>)</w:t>
      </w:r>
    </w:p>
    <w:p w14:paraId="2D9F32D0" w14:textId="77777777" w:rsidR="00EB44C9" w:rsidRDefault="00CC2BCF" w:rsidP="00EB44C9">
      <w:pPr>
        <w:pStyle w:val="Heading3"/>
      </w:pPr>
      <w:r>
        <w:t>2.</w:t>
      </w:r>
      <w:r>
        <w:tab/>
      </w:r>
      <w:r w:rsidR="00EB44C9">
        <w:t>If an employee who is serving a probationary period accepts a nonpermanent appointment, the probationary period will end and the employee will not be granted permanent status unless the employer agrees to return the employee to a position at the conclusion of the nonpermanent appointment. Any return rights granted by the employer must be to a vacant position in the class in which the employee was serving a probationary period. If the employer chooses to grant the employee a return right the employer must notify the employee in writing.</w:t>
      </w:r>
    </w:p>
    <w:p w14:paraId="2E2FF1C8" w14:textId="0E6AF496" w:rsidR="00EB44C9" w:rsidRDefault="00EB44C9" w:rsidP="00EB44C9">
      <w:pPr>
        <w:pStyle w:val="BodyText05"/>
      </w:pPr>
      <w:r>
        <w:t>Upon return from a nonpermanent appointment the employee will resume their probationary period. If the employer determines the position the employee was serving a probationary period in and the position the employee was appointed to on a nonpermanent basis are allocated to classes which are closely related, the employer may count the time worked in the nonpermanent appointment towards the probationary period. (</w:t>
      </w:r>
      <w:hyperlink r:id="rId19" w:history="1">
        <w:r>
          <w:rPr>
            <w:rStyle w:val="Hyperlink"/>
          </w:rPr>
          <w:t>WAC 357-19-073</w:t>
        </w:r>
      </w:hyperlink>
      <w:r>
        <w:t>)</w:t>
      </w:r>
    </w:p>
    <w:p w14:paraId="6E2CA47F" w14:textId="035FF1F2" w:rsidR="00A41B25" w:rsidRDefault="00EB44C9" w:rsidP="00F32717">
      <w:pPr>
        <w:pStyle w:val="Heading3"/>
      </w:pPr>
      <w:r>
        <w:lastRenderedPageBreak/>
        <w:t>3.</w:t>
      </w:r>
      <w:r>
        <w:tab/>
      </w:r>
      <w:r w:rsidR="00A41B25" w:rsidRPr="00A41B25">
        <w:t xml:space="preserve">If an employee is reassigned by the </w:t>
      </w:r>
      <w:r w:rsidR="00B917BB">
        <w:t>college</w:t>
      </w:r>
      <w:r w:rsidR="00A41B25" w:rsidRPr="00A41B25">
        <w:t xml:space="preserve"> while serving a probationary or trial service period, time spent in the initial probationary or trial service period counts towards the probationary </w:t>
      </w:r>
      <w:r w:rsidR="001660B4">
        <w:t xml:space="preserve">or trial service </w:t>
      </w:r>
      <w:r w:rsidR="00A41B25" w:rsidRPr="00A41B25">
        <w:t>period of the p</w:t>
      </w:r>
      <w:r w:rsidR="00654548">
        <w:t>osition to which the employee i</w:t>
      </w:r>
      <w:r w:rsidR="00A41B25" w:rsidRPr="00A41B25">
        <w:t>s reassigned. (</w:t>
      </w:r>
      <w:hyperlink r:id="rId20" w:history="1">
        <w:r w:rsidR="00A41B25" w:rsidRPr="0033715A">
          <w:rPr>
            <w:rStyle w:val="Hyperlink"/>
          </w:rPr>
          <w:t>WAC 357-19-075</w:t>
        </w:r>
      </w:hyperlink>
      <w:r w:rsidR="00A41B25" w:rsidRPr="00A41B25">
        <w:t>)</w:t>
      </w:r>
    </w:p>
    <w:p w14:paraId="0750BDC8" w14:textId="77777777" w:rsidR="00EB44C9" w:rsidRDefault="00EB44C9" w:rsidP="00EB44C9">
      <w:pPr>
        <w:pStyle w:val="Heading3"/>
      </w:pPr>
      <w:r>
        <w:t>4.</w:t>
      </w:r>
      <w:r>
        <w:tab/>
        <w:t>If a permanent employee accepts a nonpermanent appointment during a trial service period and the employer has agreed to return the employee to a position at the conclusion of the nonpermanent appointment, the employer may:</w:t>
      </w:r>
    </w:p>
    <w:p w14:paraId="3F8D4B3E" w14:textId="08B3F1AE" w:rsidR="00EB44C9" w:rsidRDefault="00892EBD" w:rsidP="00F45DBE">
      <w:pPr>
        <w:pStyle w:val="Heading4"/>
      </w:pPr>
      <w:r>
        <w:t>a.</w:t>
      </w:r>
      <w:r>
        <w:tab/>
      </w:r>
      <w:r w:rsidR="00EB44C9">
        <w:t>Suspend the trial service period and allow the employee to resume the trial service period when the employee returns from the nonpermanent appointment;</w:t>
      </w:r>
    </w:p>
    <w:p w14:paraId="2A8C5C19" w14:textId="4E1FA867" w:rsidR="00EB44C9" w:rsidRDefault="00892EBD" w:rsidP="00F45DBE">
      <w:pPr>
        <w:pStyle w:val="Heading4"/>
      </w:pPr>
      <w:r>
        <w:t>b.</w:t>
      </w:r>
      <w:r>
        <w:tab/>
      </w:r>
      <w:r w:rsidR="00EB44C9">
        <w:t>Require the trial service period to start over when the employee returns from the nonpermanent appointment; or</w:t>
      </w:r>
    </w:p>
    <w:p w14:paraId="3E90AE41" w14:textId="029A9E7D" w:rsidR="00892EBD" w:rsidRPr="00892EBD" w:rsidRDefault="00892EBD" w:rsidP="00F45DBE">
      <w:pPr>
        <w:pStyle w:val="Heading4"/>
      </w:pPr>
      <w:r>
        <w:t>c.</w:t>
      </w:r>
      <w:r>
        <w:tab/>
      </w:r>
      <w:r w:rsidR="00EB44C9">
        <w:t>Count the time worked in the nonpermanent appointment towards the trial service period.</w:t>
      </w:r>
      <w:r>
        <w:t xml:space="preserve"> (</w:t>
      </w:r>
      <w:hyperlink r:id="rId21" w:history="1">
        <w:r w:rsidRPr="00892EBD">
          <w:rPr>
            <w:rStyle w:val="Hyperlink"/>
          </w:rPr>
          <w:t>WAC 357-19-080</w:t>
        </w:r>
      </w:hyperlink>
      <w:r>
        <w:t>)</w:t>
      </w:r>
      <w:r w:rsidRPr="00892EBD">
        <w:t>If an employee in a nonpermanent appointment is subsequently appointed permanently to the same or a similar position, the employer may count time worked in the nonpermanent appointment towards the probationary or trial service period for the permanent position.</w:t>
      </w:r>
      <w:r>
        <w:t xml:space="preserve"> (W</w:t>
      </w:r>
      <w:hyperlink r:id="rId22" w:history="1">
        <w:r w:rsidRPr="00892EBD">
          <w:rPr>
            <w:rStyle w:val="Hyperlink"/>
          </w:rPr>
          <w:t>AC 357-19-085</w:t>
        </w:r>
      </w:hyperlink>
      <w:r>
        <w:t>)</w:t>
      </w:r>
    </w:p>
    <w:p w14:paraId="41AF8DE1" w14:textId="77777777" w:rsidR="00A41B25" w:rsidRDefault="00D076A7" w:rsidP="00D076A7">
      <w:pPr>
        <w:pStyle w:val="Heading2"/>
      </w:pPr>
      <w:r>
        <w:t>F.</w:t>
      </w:r>
      <w:r>
        <w:tab/>
      </w:r>
      <w:r w:rsidRPr="00A41B25">
        <w:t>NOTIFICATION OF PROBATIONARY/TRIAL SERVICE PERIOD</w:t>
      </w:r>
    </w:p>
    <w:p w14:paraId="06E2C064" w14:textId="77777777" w:rsidR="00394244" w:rsidRDefault="00394244" w:rsidP="00F32717">
      <w:pPr>
        <w:pStyle w:val="Heading3"/>
      </w:pPr>
      <w:r>
        <w:t>1.</w:t>
      </w:r>
      <w:r>
        <w:tab/>
      </w:r>
      <w:r w:rsidRPr="00394244">
        <w:t>An employee shall be notified in the appointment letter the duration of the probationary or trial service period and the possibility of an extension to the maximum term.</w:t>
      </w:r>
    </w:p>
    <w:p w14:paraId="43FB7307" w14:textId="77777777" w:rsidR="00394244" w:rsidRPr="00394244" w:rsidRDefault="00394244" w:rsidP="00F32717">
      <w:pPr>
        <w:pStyle w:val="Heading3"/>
      </w:pPr>
      <w:r w:rsidRPr="00394244">
        <w:t>2.</w:t>
      </w:r>
      <w:r>
        <w:tab/>
      </w:r>
      <w:r w:rsidRPr="00394244">
        <w:t>Written notification shall be given to an employee in advance of any extension or continuation of the probationary or trial service period.</w:t>
      </w:r>
    </w:p>
    <w:p w14:paraId="20789DF3" w14:textId="77777777" w:rsidR="008E15BC" w:rsidRDefault="00D076A7" w:rsidP="00D076A7">
      <w:pPr>
        <w:pStyle w:val="Heading2"/>
      </w:pPr>
      <w:r>
        <w:t>G.</w:t>
      </w:r>
      <w:r>
        <w:tab/>
        <w:t>PERFORMANCE EVALUATIONS</w:t>
      </w:r>
    </w:p>
    <w:p w14:paraId="4E5034EA" w14:textId="77777777" w:rsidR="008E15BC" w:rsidRDefault="008E15BC" w:rsidP="00892EBD">
      <w:pPr>
        <w:pStyle w:val="BodyText025"/>
      </w:pPr>
      <w:r w:rsidRPr="008E15BC">
        <w:t xml:space="preserve">Employees will be formally evaluated during the probationary/trial service period per the </w:t>
      </w:r>
      <w:r>
        <w:t>college</w:t>
      </w:r>
      <w:r w:rsidRPr="008E15BC">
        <w:t xml:space="preserve">´s </w:t>
      </w:r>
      <w:r w:rsidRPr="005755F4">
        <w:t xml:space="preserve">classified performance management </w:t>
      </w:r>
      <w:r w:rsidR="006235B4" w:rsidRPr="005755F4">
        <w:t xml:space="preserve">process </w:t>
      </w:r>
      <w:r w:rsidRPr="005755F4">
        <w:t>policy</w:t>
      </w:r>
      <w:r w:rsidRPr="008E15BC">
        <w:t xml:space="preserve"> and </w:t>
      </w:r>
      <w:hyperlink r:id="rId23" w:history="1">
        <w:r w:rsidRPr="008E15BC">
          <w:rPr>
            <w:rStyle w:val="Hyperlink"/>
          </w:rPr>
          <w:t>WAC 357-37-030</w:t>
        </w:r>
      </w:hyperlink>
      <w:r w:rsidRPr="008E15BC">
        <w:t>.</w:t>
      </w:r>
    </w:p>
    <w:p w14:paraId="760AD357" w14:textId="77777777" w:rsidR="005F5657" w:rsidRDefault="00D076A7" w:rsidP="00D076A7">
      <w:pPr>
        <w:pStyle w:val="Heading2"/>
      </w:pPr>
      <w:r>
        <w:t>H.</w:t>
      </w:r>
      <w:r>
        <w:tab/>
        <w:t xml:space="preserve">PROBATIONARY PERIOD SEPARATION </w:t>
      </w:r>
      <w:r w:rsidRPr="00FC339C">
        <w:t>(</w:t>
      </w:r>
      <w:hyperlink r:id="rId24" w:history="1">
        <w:r w:rsidRPr="0033715A">
          <w:rPr>
            <w:rStyle w:val="Hyperlink"/>
            <w:b w:val="0"/>
          </w:rPr>
          <w:t>WAC 357-19-095</w:t>
        </w:r>
      </w:hyperlink>
      <w:r w:rsidRPr="00FC339C">
        <w:t>)</w:t>
      </w:r>
      <w:r>
        <w:t xml:space="preserve"> (</w:t>
      </w:r>
      <w:hyperlink r:id="rId25" w:history="1">
        <w:r w:rsidRPr="003877CA">
          <w:rPr>
            <w:rStyle w:val="Hyperlink"/>
            <w:b w:val="0"/>
          </w:rPr>
          <w:t>WAC 357-46-180</w:t>
        </w:r>
      </w:hyperlink>
      <w:r>
        <w:t>)</w:t>
      </w:r>
    </w:p>
    <w:p w14:paraId="185AA4BF" w14:textId="77777777" w:rsidR="005F5657" w:rsidRPr="00CB38F0" w:rsidRDefault="005F5657" w:rsidP="00892EBD">
      <w:pPr>
        <w:pStyle w:val="BodyText025"/>
      </w:pPr>
      <w:r w:rsidRPr="00CB38F0">
        <w:t>If performance or conduct issues are found to be below acceptable standards by the responsible evaluator, a recommendation shall be made to the appointing authority to terminate employment.</w:t>
      </w:r>
      <w:r w:rsidR="00F32717">
        <w:t xml:space="preserve"> </w:t>
      </w:r>
      <w:r w:rsidRPr="00CB38F0">
        <w:t>Such terminations are n</w:t>
      </w:r>
      <w:r w:rsidR="008E15BC">
        <w:t>ot subject to review or appeal</w:t>
      </w:r>
      <w:r w:rsidRPr="00CB38F0">
        <w:t>.</w:t>
      </w:r>
    </w:p>
    <w:p w14:paraId="686EFBD7" w14:textId="77777777" w:rsidR="005F5657" w:rsidRPr="00A41B25" w:rsidRDefault="00D076A7" w:rsidP="00D076A7">
      <w:pPr>
        <w:pStyle w:val="Heading2"/>
      </w:pPr>
      <w:r>
        <w:t>I.</w:t>
      </w:r>
      <w:r>
        <w:tab/>
        <w:t>TRIAL SERVICE REVERSION</w:t>
      </w:r>
    </w:p>
    <w:p w14:paraId="04C059C0" w14:textId="77777777" w:rsidR="00A41B25" w:rsidRPr="00A41B25" w:rsidRDefault="00A41B25" w:rsidP="00892EBD">
      <w:pPr>
        <w:pStyle w:val="BodyText025"/>
      </w:pPr>
      <w:r w:rsidRPr="00A41B25">
        <w:t xml:space="preserve">The </w:t>
      </w:r>
      <w:r w:rsidR="00FC339C">
        <w:t>college</w:t>
      </w:r>
      <w:r w:rsidRPr="00A41B25">
        <w:t xml:space="preserve"> may revert any employee who fails to meet the </w:t>
      </w:r>
      <w:r w:rsidR="00FC339C">
        <w:t>college’s</w:t>
      </w:r>
      <w:r w:rsidRPr="00A41B25">
        <w:t xml:space="preserve"> standards during the trial service period (</w:t>
      </w:r>
      <w:hyperlink r:id="rId26" w:history="1">
        <w:r w:rsidRPr="0033715A">
          <w:rPr>
            <w:rStyle w:val="Hyperlink"/>
          </w:rPr>
          <w:t>WAC 357-19-100</w:t>
        </w:r>
      </w:hyperlink>
      <w:r w:rsidRPr="00A41B25">
        <w:t>).</w:t>
      </w:r>
      <w:r w:rsidR="00F32717">
        <w:t xml:space="preserve"> </w:t>
      </w:r>
      <w:r w:rsidR="00E14505">
        <w:t>The following information provides information and rules regarding reversion:</w:t>
      </w:r>
    </w:p>
    <w:p w14:paraId="623FCAC7" w14:textId="77777777" w:rsidR="00A41B25" w:rsidRDefault="00E14505" w:rsidP="00F32717">
      <w:pPr>
        <w:pStyle w:val="Heading3"/>
      </w:pPr>
      <w:r>
        <w:t>1.</w:t>
      </w:r>
      <w:r>
        <w:tab/>
      </w:r>
      <w:r w:rsidR="00A41B25" w:rsidRPr="00A41B25">
        <w:t xml:space="preserve">The employee </w:t>
      </w:r>
      <w:r>
        <w:t xml:space="preserve">being reverted </w:t>
      </w:r>
      <w:r w:rsidR="00A41B25" w:rsidRPr="00A41B25">
        <w:t>must be notified in accordance w</w:t>
      </w:r>
      <w:r w:rsidR="00FC339C">
        <w:t xml:space="preserve">ith </w:t>
      </w:r>
      <w:hyperlink r:id="rId27" w:history="1">
        <w:r w:rsidR="00FC339C" w:rsidRPr="0033715A">
          <w:rPr>
            <w:rStyle w:val="Hyperlink"/>
          </w:rPr>
          <w:t>WAC 357-19-105</w:t>
        </w:r>
      </w:hyperlink>
      <w:r w:rsidR="00FC339C">
        <w:t>.</w:t>
      </w:r>
    </w:p>
    <w:p w14:paraId="44531EB1" w14:textId="77777777" w:rsidR="00E14505" w:rsidRPr="00A41B25" w:rsidRDefault="00E14505" w:rsidP="00F32717">
      <w:pPr>
        <w:pStyle w:val="Heading3"/>
      </w:pPr>
      <w:r>
        <w:t>2.</w:t>
      </w:r>
      <w:r>
        <w:tab/>
        <w:t xml:space="preserve">An employee can voluntarily revert during a trial service period in accordance with </w:t>
      </w:r>
      <w:hyperlink r:id="rId28" w:history="1">
        <w:r w:rsidRPr="0033715A">
          <w:rPr>
            <w:rStyle w:val="Hyperlink"/>
          </w:rPr>
          <w:t>WAC 357-19-110</w:t>
        </w:r>
      </w:hyperlink>
      <w:r>
        <w:t>.</w:t>
      </w:r>
    </w:p>
    <w:p w14:paraId="43CD4371" w14:textId="77777777" w:rsidR="00A41B25" w:rsidRPr="00A41B25" w:rsidRDefault="00E14505" w:rsidP="00F32717">
      <w:pPr>
        <w:pStyle w:val="Heading3"/>
      </w:pPr>
      <w:r>
        <w:t>3.</w:t>
      </w:r>
      <w:r>
        <w:tab/>
      </w:r>
      <w:r w:rsidR="00A41B25" w:rsidRPr="00A41B25">
        <w:t xml:space="preserve">Upon reversion, the employee has the rights provided by </w:t>
      </w:r>
      <w:hyperlink r:id="rId29" w:history="1">
        <w:r w:rsidR="00A41B25" w:rsidRPr="0033715A">
          <w:rPr>
            <w:rStyle w:val="Hyperlink"/>
          </w:rPr>
          <w:t>WAC 357-19-115</w:t>
        </w:r>
      </w:hyperlink>
      <w:r w:rsidR="00A41B25" w:rsidRPr="00A41B25">
        <w:t xml:space="preserve"> and </w:t>
      </w:r>
      <w:hyperlink r:id="rId30" w:history="1">
        <w:r w:rsidR="0033715A" w:rsidRPr="0033715A">
          <w:rPr>
            <w:rStyle w:val="Hyperlink"/>
          </w:rPr>
          <w:t xml:space="preserve">WAC </w:t>
        </w:r>
        <w:r w:rsidR="00A41B25" w:rsidRPr="0033715A">
          <w:rPr>
            <w:rStyle w:val="Hyperlink"/>
          </w:rPr>
          <w:t>357-19-117</w:t>
        </w:r>
      </w:hyperlink>
      <w:r w:rsidR="00A41B25" w:rsidRPr="00A41B25">
        <w:t>.</w:t>
      </w:r>
      <w:r w:rsidR="00F32717">
        <w:t xml:space="preserve"> </w:t>
      </w:r>
      <w:r w:rsidR="00460E6E">
        <w:t>Priority for reverted employee: the college</w:t>
      </w:r>
      <w:r w:rsidR="00460E6E" w:rsidRPr="00460E6E">
        <w:t xml:space="preserve"> must first look for a position within the layoff unit of the position the employee is being reverted from</w:t>
      </w:r>
      <w:r w:rsidR="00460E6E">
        <w:t>.</w:t>
      </w:r>
    </w:p>
    <w:p w14:paraId="34A12968" w14:textId="77777777" w:rsidR="00A41B25" w:rsidRPr="00A41B25" w:rsidRDefault="00E14505" w:rsidP="00F32717">
      <w:pPr>
        <w:pStyle w:val="Heading3"/>
      </w:pPr>
      <w:r>
        <w:t>4</w:t>
      </w:r>
      <w:r w:rsidR="00A41B25" w:rsidRPr="00A41B25">
        <w:t>.</w:t>
      </w:r>
      <w:r>
        <w:tab/>
      </w:r>
      <w:r w:rsidR="00A41B25" w:rsidRPr="00A41B25">
        <w:t>Employees who are reverted during trial service do not have the right to appeal the reversion. (</w:t>
      </w:r>
      <w:hyperlink r:id="rId31" w:history="1">
        <w:r w:rsidR="00A41B25" w:rsidRPr="0033715A">
          <w:rPr>
            <w:rStyle w:val="Hyperlink"/>
          </w:rPr>
          <w:t>WAC 357-19-135</w:t>
        </w:r>
      </w:hyperlink>
      <w:r w:rsidR="00A41B25" w:rsidRPr="00A41B25">
        <w:t>)</w:t>
      </w:r>
    </w:p>
    <w:p w14:paraId="25BE4F14" w14:textId="2D8F06B3" w:rsidR="00F25A44" w:rsidRPr="00973FA0" w:rsidRDefault="00F25A44" w:rsidP="00F32717">
      <w:pPr>
        <w:pStyle w:val="BodyTextItalicBOT"/>
      </w:pPr>
      <w:r>
        <w:t>A</w:t>
      </w:r>
      <w:r w:rsidRPr="00973FA0">
        <w:t>pproved by</w:t>
      </w:r>
      <w:r>
        <w:t xml:space="preserve"> t</w:t>
      </w:r>
      <w:r w:rsidR="004507BA">
        <w:t>he president’s cabinet: 8/2/11</w:t>
      </w:r>
      <w:r w:rsidR="0091199A">
        <w:t>, 12/30/14</w:t>
      </w:r>
      <w:r w:rsidR="00892EBD">
        <w:t xml:space="preserve">, </w:t>
      </w:r>
      <w:r w:rsidR="00F45DBE">
        <w:t>5/</w:t>
      </w:r>
      <w:r w:rsidR="00330AAC">
        <w:t>2</w:t>
      </w:r>
      <w:r w:rsidR="00F45DBE">
        <w:t>3/23</w:t>
      </w:r>
    </w:p>
    <w:p w14:paraId="5A04C4CE" w14:textId="2EA9188F" w:rsidR="00DD4A3A" w:rsidRPr="00DD4A3A" w:rsidRDefault="000206FE" w:rsidP="00DD4A3A">
      <w:pPr>
        <w:pStyle w:val="BodyTextItalicBOT"/>
      </w:pPr>
      <w:r>
        <w:t>Last reviewed:</w:t>
      </w:r>
      <w:r w:rsidR="00EB44C9">
        <w:t xml:space="preserve"> </w:t>
      </w:r>
      <w:r w:rsidR="00F45DBE">
        <w:t>5/</w:t>
      </w:r>
      <w:r w:rsidR="00330AAC">
        <w:t>2</w:t>
      </w:r>
      <w:r w:rsidR="00F45DBE">
        <w:t>3/23</w:t>
      </w:r>
    </w:p>
    <w:p w14:paraId="03FEEBB4" w14:textId="77777777" w:rsidR="00F32717" w:rsidRDefault="00F32717" w:rsidP="00F32717">
      <w:pPr>
        <w:pStyle w:val="BodyTextPolicyContact"/>
      </w:pPr>
      <w:r>
        <w:lastRenderedPageBreak/>
        <w:t>Procedure contact: Human Resources</w:t>
      </w:r>
    </w:p>
    <w:p w14:paraId="65A51C33" w14:textId="77777777" w:rsidR="00F32717" w:rsidRDefault="00F32717" w:rsidP="00F32717">
      <w:pPr>
        <w:pStyle w:val="RelatedPP"/>
      </w:pPr>
      <w:r>
        <w:t>Related policies and procedures</w:t>
      </w:r>
    </w:p>
    <w:p w14:paraId="0A37B921" w14:textId="77777777" w:rsidR="00F32717" w:rsidRPr="00F32717" w:rsidRDefault="00F32717" w:rsidP="00F32717">
      <w:pPr>
        <w:pStyle w:val="000000RelatedPolicies"/>
      </w:pPr>
      <w:r>
        <w:tab/>
        <w:t>540.060</w:t>
      </w:r>
      <w:r>
        <w:tab/>
      </w:r>
      <w:hyperlink r:id="rId32" w:history="1">
        <w:r w:rsidRPr="00161A4E">
          <w:rPr>
            <w:rStyle w:val="Hyperlink"/>
          </w:rPr>
          <w:t xml:space="preserve">Classified Probationary </w:t>
        </w:r>
        <w:r w:rsidR="00D240BD" w:rsidRPr="00161A4E">
          <w:rPr>
            <w:rStyle w:val="Hyperlink"/>
          </w:rPr>
          <w:t>&amp;</w:t>
        </w:r>
        <w:r w:rsidRPr="00161A4E">
          <w:rPr>
            <w:rStyle w:val="Hyperlink"/>
          </w:rPr>
          <w:t xml:space="preserve"> Trial Service Period Policy</w:t>
        </w:r>
      </w:hyperlink>
    </w:p>
    <w:sectPr w:rsidR="00F32717" w:rsidRPr="00F32717" w:rsidSect="008C7A5C">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329A" w14:textId="77777777" w:rsidR="001660B4" w:rsidRDefault="001660B4">
      <w:r>
        <w:separator/>
      </w:r>
    </w:p>
  </w:endnote>
  <w:endnote w:type="continuationSeparator" w:id="0">
    <w:p w14:paraId="5E243AF7" w14:textId="77777777" w:rsidR="001660B4" w:rsidRDefault="0016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5687" w14:textId="77777777" w:rsidR="009A1C6F" w:rsidRDefault="009A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71B4" w14:textId="77777777" w:rsidR="009A1C6F" w:rsidRDefault="009A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EDF" w14:textId="77777777" w:rsidR="009A1C6F" w:rsidRDefault="009A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F059" w14:textId="77777777" w:rsidR="001660B4" w:rsidRDefault="001660B4">
      <w:r>
        <w:separator/>
      </w:r>
    </w:p>
  </w:footnote>
  <w:footnote w:type="continuationSeparator" w:id="0">
    <w:p w14:paraId="6390B761" w14:textId="77777777" w:rsidR="001660B4" w:rsidRDefault="0016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C529" w14:textId="77777777" w:rsidR="009A1C6F" w:rsidRDefault="009A1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AE3B" w14:textId="4DC24A28" w:rsidR="001660B4" w:rsidRDefault="001660B4" w:rsidP="00A55C92">
    <w:pPr>
      <w:tabs>
        <w:tab w:val="right" w:pos="9360"/>
      </w:tabs>
      <w:rPr>
        <w:rFonts w:eastAsia="MS Mincho"/>
      </w:rPr>
    </w:pPr>
    <w:r>
      <w:rPr>
        <w:rFonts w:eastAsia="MS Mincho"/>
      </w:rPr>
      <w:t>Wenatchee Valley College</w:t>
    </w:r>
    <w:r>
      <w:rPr>
        <w:rFonts w:eastAsia="MS Mincho"/>
      </w:rPr>
      <w:tab/>
      <w:t>1500.000 HUMAN RESOURCES</w:t>
    </w:r>
  </w:p>
  <w:p w14:paraId="6882E399" w14:textId="77777777" w:rsidR="001660B4" w:rsidRDefault="001660B4" w:rsidP="00A55C92">
    <w:pPr>
      <w:rPr>
        <w:rFonts w:eastAsia="MS Mincho"/>
      </w:rPr>
    </w:pPr>
    <w:r>
      <w:rPr>
        <w:rFonts w:eastAsia="MS Mincho"/>
      </w:rPr>
      <w:t>COLLEGE OPERATIONAL PROCEDURE</w:t>
    </w:r>
  </w:p>
  <w:p w14:paraId="00626071" w14:textId="77777777" w:rsidR="007B3962" w:rsidRDefault="007B3962" w:rsidP="00A55C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CDA" w14:textId="77777777" w:rsidR="009A1C6F" w:rsidRDefault="009A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484E6"/>
    <w:multiLevelType w:val="hybridMultilevel"/>
    <w:tmpl w:val="239901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41F3BE"/>
    <w:multiLevelType w:val="hybridMultilevel"/>
    <w:tmpl w:val="1BE79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2DCC65"/>
    <w:multiLevelType w:val="hybridMultilevel"/>
    <w:tmpl w:val="76BEE4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4425C7"/>
    <w:multiLevelType w:val="hybridMultilevel"/>
    <w:tmpl w:val="68B37BA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306CF0"/>
    <w:multiLevelType w:val="hybridMultilevel"/>
    <w:tmpl w:val="6C346A5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5"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6"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7" w15:restartNumberingAfterBreak="0">
    <w:nsid w:val="23134FFF"/>
    <w:multiLevelType w:val="hybridMultilevel"/>
    <w:tmpl w:val="DE24D5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0F7D8E"/>
    <w:multiLevelType w:val="hybridMultilevel"/>
    <w:tmpl w:val="A5BC9C2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39B1A"/>
    <w:multiLevelType w:val="hybridMultilevel"/>
    <w:tmpl w:val="51F595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4"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5"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6" w15:restartNumberingAfterBreak="0">
    <w:nsid w:val="4AA2A960"/>
    <w:multiLevelType w:val="hybridMultilevel"/>
    <w:tmpl w:val="F4F613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8"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948DEA"/>
    <w:multiLevelType w:val="hybridMultilevel"/>
    <w:tmpl w:val="7D4D10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E646FE"/>
    <w:multiLevelType w:val="hybridMultilevel"/>
    <w:tmpl w:val="7EEA888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837703">
    <w:abstractNumId w:val="15"/>
  </w:num>
  <w:num w:numId="2" w16cid:durableId="463234592">
    <w:abstractNumId w:val="16"/>
  </w:num>
  <w:num w:numId="3" w16cid:durableId="1208490979">
    <w:abstractNumId w:val="35"/>
  </w:num>
  <w:num w:numId="4" w16cid:durableId="1926184097">
    <w:abstractNumId w:val="37"/>
  </w:num>
  <w:num w:numId="5" w16cid:durableId="1735815247">
    <w:abstractNumId w:val="33"/>
  </w:num>
  <w:num w:numId="6" w16cid:durableId="1818955256">
    <w:abstractNumId w:val="8"/>
  </w:num>
  <w:num w:numId="7" w16cid:durableId="528884105">
    <w:abstractNumId w:val="14"/>
  </w:num>
  <w:num w:numId="8" w16cid:durableId="686056765">
    <w:abstractNumId w:val="34"/>
  </w:num>
  <w:num w:numId="9" w16cid:durableId="1198466986">
    <w:abstractNumId w:val="28"/>
  </w:num>
  <w:num w:numId="10" w16cid:durableId="945040686">
    <w:abstractNumId w:val="11"/>
  </w:num>
  <w:num w:numId="11" w16cid:durableId="601884418">
    <w:abstractNumId w:val="26"/>
  </w:num>
  <w:num w:numId="12" w16cid:durableId="1956446926">
    <w:abstractNumId w:val="39"/>
  </w:num>
  <w:num w:numId="13" w16cid:durableId="323433515">
    <w:abstractNumId w:val="5"/>
  </w:num>
  <w:num w:numId="14" w16cid:durableId="861894496">
    <w:abstractNumId w:val="18"/>
  </w:num>
  <w:num w:numId="15" w16cid:durableId="783304520">
    <w:abstractNumId w:val="23"/>
  </w:num>
  <w:num w:numId="16" w16cid:durableId="345863363">
    <w:abstractNumId w:val="19"/>
  </w:num>
  <w:num w:numId="17" w16cid:durableId="294797181">
    <w:abstractNumId w:val="7"/>
  </w:num>
  <w:num w:numId="18" w16cid:durableId="1921940248">
    <w:abstractNumId w:val="42"/>
  </w:num>
  <w:num w:numId="19" w16cid:durableId="1204707491">
    <w:abstractNumId w:val="12"/>
  </w:num>
  <w:num w:numId="20" w16cid:durableId="1841118287">
    <w:abstractNumId w:val="38"/>
  </w:num>
  <w:num w:numId="21" w16cid:durableId="1340617798">
    <w:abstractNumId w:val="30"/>
  </w:num>
  <w:num w:numId="22" w16cid:durableId="885095892">
    <w:abstractNumId w:val="48"/>
  </w:num>
  <w:num w:numId="23" w16cid:durableId="1902516777">
    <w:abstractNumId w:val="22"/>
  </w:num>
  <w:num w:numId="24" w16cid:durableId="615714293">
    <w:abstractNumId w:val="27"/>
  </w:num>
  <w:num w:numId="25" w16cid:durableId="46414318">
    <w:abstractNumId w:val="47"/>
  </w:num>
  <w:num w:numId="26" w16cid:durableId="125391885">
    <w:abstractNumId w:val="49"/>
  </w:num>
  <w:num w:numId="27" w16cid:durableId="1963802399">
    <w:abstractNumId w:val="29"/>
  </w:num>
  <w:num w:numId="28" w16cid:durableId="1729303866">
    <w:abstractNumId w:val="46"/>
  </w:num>
  <w:num w:numId="29" w16cid:durableId="971522570">
    <w:abstractNumId w:val="44"/>
  </w:num>
  <w:num w:numId="30" w16cid:durableId="264073512">
    <w:abstractNumId w:val="43"/>
  </w:num>
  <w:num w:numId="31" w16cid:durableId="890193830">
    <w:abstractNumId w:val="13"/>
  </w:num>
  <w:num w:numId="32" w16cid:durableId="1610311018">
    <w:abstractNumId w:val="41"/>
  </w:num>
  <w:num w:numId="33" w16cid:durableId="579800182">
    <w:abstractNumId w:val="9"/>
  </w:num>
  <w:num w:numId="34" w16cid:durableId="1585649453">
    <w:abstractNumId w:val="21"/>
  </w:num>
  <w:num w:numId="35" w16cid:durableId="662591088">
    <w:abstractNumId w:val="20"/>
  </w:num>
  <w:num w:numId="36" w16cid:durableId="428352610">
    <w:abstractNumId w:val="10"/>
  </w:num>
  <w:num w:numId="37" w16cid:durableId="1115170959">
    <w:abstractNumId w:val="6"/>
  </w:num>
  <w:num w:numId="38" w16cid:durableId="133256666">
    <w:abstractNumId w:val="32"/>
  </w:num>
  <w:num w:numId="39" w16cid:durableId="1355839862">
    <w:abstractNumId w:val="25"/>
  </w:num>
  <w:num w:numId="40" w16cid:durableId="612204339">
    <w:abstractNumId w:val="36"/>
  </w:num>
  <w:num w:numId="41" w16cid:durableId="112133283">
    <w:abstractNumId w:val="31"/>
  </w:num>
  <w:num w:numId="42" w16cid:durableId="1370954867">
    <w:abstractNumId w:val="1"/>
  </w:num>
  <w:num w:numId="43" w16cid:durableId="1834950358">
    <w:abstractNumId w:val="2"/>
  </w:num>
  <w:num w:numId="44" w16cid:durableId="1013993257">
    <w:abstractNumId w:val="3"/>
  </w:num>
  <w:num w:numId="45" w16cid:durableId="1555463780">
    <w:abstractNumId w:val="24"/>
  </w:num>
  <w:num w:numId="46" w16cid:durableId="204373787">
    <w:abstractNumId w:val="17"/>
  </w:num>
  <w:num w:numId="47" w16cid:durableId="1254583460">
    <w:abstractNumId w:val="0"/>
  </w:num>
  <w:num w:numId="48" w16cid:durableId="1811630829">
    <w:abstractNumId w:val="40"/>
  </w:num>
  <w:num w:numId="49" w16cid:durableId="71204237">
    <w:abstractNumId w:val="45"/>
  </w:num>
  <w:num w:numId="50" w16cid:durableId="12285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317C"/>
    <w:rsid w:val="00003419"/>
    <w:rsid w:val="000065C4"/>
    <w:rsid w:val="0000754D"/>
    <w:rsid w:val="0001130C"/>
    <w:rsid w:val="0001517F"/>
    <w:rsid w:val="000165D5"/>
    <w:rsid w:val="000171BB"/>
    <w:rsid w:val="00017AC2"/>
    <w:rsid w:val="000206FE"/>
    <w:rsid w:val="00022227"/>
    <w:rsid w:val="00024BB4"/>
    <w:rsid w:val="000265B0"/>
    <w:rsid w:val="00037717"/>
    <w:rsid w:val="0004506B"/>
    <w:rsid w:val="0005400B"/>
    <w:rsid w:val="00054EBE"/>
    <w:rsid w:val="000559FE"/>
    <w:rsid w:val="00057ED4"/>
    <w:rsid w:val="00066375"/>
    <w:rsid w:val="00070CC7"/>
    <w:rsid w:val="000750EA"/>
    <w:rsid w:val="000766C4"/>
    <w:rsid w:val="00077897"/>
    <w:rsid w:val="00083F69"/>
    <w:rsid w:val="0008564D"/>
    <w:rsid w:val="00085ADC"/>
    <w:rsid w:val="00087906"/>
    <w:rsid w:val="000978AE"/>
    <w:rsid w:val="000979B3"/>
    <w:rsid w:val="000A725A"/>
    <w:rsid w:val="000A7AE6"/>
    <w:rsid w:val="000B2BC1"/>
    <w:rsid w:val="000B4BD4"/>
    <w:rsid w:val="000C7FB4"/>
    <w:rsid w:val="000D319C"/>
    <w:rsid w:val="000F487E"/>
    <w:rsid w:val="000F4899"/>
    <w:rsid w:val="000F5C9F"/>
    <w:rsid w:val="000F6772"/>
    <w:rsid w:val="00101E7E"/>
    <w:rsid w:val="00114ADF"/>
    <w:rsid w:val="00122BFE"/>
    <w:rsid w:val="00130843"/>
    <w:rsid w:val="001333F9"/>
    <w:rsid w:val="00137102"/>
    <w:rsid w:val="0014744F"/>
    <w:rsid w:val="00153833"/>
    <w:rsid w:val="00161A4E"/>
    <w:rsid w:val="001660B4"/>
    <w:rsid w:val="00172556"/>
    <w:rsid w:val="00180B92"/>
    <w:rsid w:val="001835F7"/>
    <w:rsid w:val="0018557B"/>
    <w:rsid w:val="00187649"/>
    <w:rsid w:val="00195706"/>
    <w:rsid w:val="00197258"/>
    <w:rsid w:val="001A4FE5"/>
    <w:rsid w:val="001A7926"/>
    <w:rsid w:val="001B01E9"/>
    <w:rsid w:val="001B388D"/>
    <w:rsid w:val="001C117C"/>
    <w:rsid w:val="001C731F"/>
    <w:rsid w:val="001D1045"/>
    <w:rsid w:val="001D46A9"/>
    <w:rsid w:val="001D5414"/>
    <w:rsid w:val="001E0316"/>
    <w:rsid w:val="001E27EC"/>
    <w:rsid w:val="001F1D48"/>
    <w:rsid w:val="00211646"/>
    <w:rsid w:val="002234D5"/>
    <w:rsid w:val="00223D48"/>
    <w:rsid w:val="00224B6D"/>
    <w:rsid w:val="00226E41"/>
    <w:rsid w:val="00233BFA"/>
    <w:rsid w:val="00247F26"/>
    <w:rsid w:val="00250EA0"/>
    <w:rsid w:val="00251E65"/>
    <w:rsid w:val="00252004"/>
    <w:rsid w:val="0025256F"/>
    <w:rsid w:val="00253839"/>
    <w:rsid w:val="00260B6A"/>
    <w:rsid w:val="00264218"/>
    <w:rsid w:val="002675EE"/>
    <w:rsid w:val="00267A44"/>
    <w:rsid w:val="00270224"/>
    <w:rsid w:val="00270B68"/>
    <w:rsid w:val="002761FC"/>
    <w:rsid w:val="00276229"/>
    <w:rsid w:val="00287188"/>
    <w:rsid w:val="002907CB"/>
    <w:rsid w:val="00291782"/>
    <w:rsid w:val="002928DF"/>
    <w:rsid w:val="00293A17"/>
    <w:rsid w:val="002940AF"/>
    <w:rsid w:val="002A6200"/>
    <w:rsid w:val="002B3E4F"/>
    <w:rsid w:val="002B72A2"/>
    <w:rsid w:val="002C1EAB"/>
    <w:rsid w:val="002C247B"/>
    <w:rsid w:val="002D2AA0"/>
    <w:rsid w:val="002E1550"/>
    <w:rsid w:val="002E6D47"/>
    <w:rsid w:val="002F570A"/>
    <w:rsid w:val="00307D54"/>
    <w:rsid w:val="00313B19"/>
    <w:rsid w:val="00316152"/>
    <w:rsid w:val="0032003A"/>
    <w:rsid w:val="00325054"/>
    <w:rsid w:val="003262EC"/>
    <w:rsid w:val="00326A38"/>
    <w:rsid w:val="00330AAC"/>
    <w:rsid w:val="00334314"/>
    <w:rsid w:val="0033715A"/>
    <w:rsid w:val="00337358"/>
    <w:rsid w:val="00340BF0"/>
    <w:rsid w:val="00342AE9"/>
    <w:rsid w:val="00344844"/>
    <w:rsid w:val="00344B37"/>
    <w:rsid w:val="003476BF"/>
    <w:rsid w:val="00350808"/>
    <w:rsid w:val="00354346"/>
    <w:rsid w:val="00364C77"/>
    <w:rsid w:val="00382EC1"/>
    <w:rsid w:val="003877CA"/>
    <w:rsid w:val="00390DF3"/>
    <w:rsid w:val="0039194C"/>
    <w:rsid w:val="00394244"/>
    <w:rsid w:val="003A6576"/>
    <w:rsid w:val="003B54E7"/>
    <w:rsid w:val="003E17D5"/>
    <w:rsid w:val="00404E39"/>
    <w:rsid w:val="004137FB"/>
    <w:rsid w:val="00421133"/>
    <w:rsid w:val="00422202"/>
    <w:rsid w:val="00430B12"/>
    <w:rsid w:val="004378AF"/>
    <w:rsid w:val="004404BF"/>
    <w:rsid w:val="00441620"/>
    <w:rsid w:val="004469EE"/>
    <w:rsid w:val="00447791"/>
    <w:rsid w:val="004507BA"/>
    <w:rsid w:val="00452B19"/>
    <w:rsid w:val="00456669"/>
    <w:rsid w:val="00460E6E"/>
    <w:rsid w:val="00464A46"/>
    <w:rsid w:val="00464BE7"/>
    <w:rsid w:val="00465939"/>
    <w:rsid w:val="00466EE2"/>
    <w:rsid w:val="0046755C"/>
    <w:rsid w:val="00475786"/>
    <w:rsid w:val="00476C59"/>
    <w:rsid w:val="00495154"/>
    <w:rsid w:val="004A0BE5"/>
    <w:rsid w:val="004A6FF9"/>
    <w:rsid w:val="004C2450"/>
    <w:rsid w:val="004C3816"/>
    <w:rsid w:val="004D4440"/>
    <w:rsid w:val="004D6F80"/>
    <w:rsid w:val="004D7126"/>
    <w:rsid w:val="004E4AE0"/>
    <w:rsid w:val="004E7ECB"/>
    <w:rsid w:val="004F17FE"/>
    <w:rsid w:val="00502C1E"/>
    <w:rsid w:val="00517818"/>
    <w:rsid w:val="005231AF"/>
    <w:rsid w:val="00531B5D"/>
    <w:rsid w:val="00534789"/>
    <w:rsid w:val="00534DDD"/>
    <w:rsid w:val="00536628"/>
    <w:rsid w:val="00537E68"/>
    <w:rsid w:val="00540A01"/>
    <w:rsid w:val="00543187"/>
    <w:rsid w:val="0055331A"/>
    <w:rsid w:val="00564D51"/>
    <w:rsid w:val="0056648D"/>
    <w:rsid w:val="0057019E"/>
    <w:rsid w:val="005706B5"/>
    <w:rsid w:val="00573D41"/>
    <w:rsid w:val="0057427C"/>
    <w:rsid w:val="00574673"/>
    <w:rsid w:val="005755F4"/>
    <w:rsid w:val="0057687D"/>
    <w:rsid w:val="00576AAC"/>
    <w:rsid w:val="005777BD"/>
    <w:rsid w:val="005804A3"/>
    <w:rsid w:val="005859F9"/>
    <w:rsid w:val="0059294E"/>
    <w:rsid w:val="005A65F6"/>
    <w:rsid w:val="005A6D3C"/>
    <w:rsid w:val="005B0282"/>
    <w:rsid w:val="005B0B21"/>
    <w:rsid w:val="005B4145"/>
    <w:rsid w:val="005C0DB6"/>
    <w:rsid w:val="005C4CED"/>
    <w:rsid w:val="005D2DE9"/>
    <w:rsid w:val="005E1624"/>
    <w:rsid w:val="005E6242"/>
    <w:rsid w:val="005E65A2"/>
    <w:rsid w:val="005F1A36"/>
    <w:rsid w:val="005F5657"/>
    <w:rsid w:val="00600DD1"/>
    <w:rsid w:val="00612D86"/>
    <w:rsid w:val="00622764"/>
    <w:rsid w:val="00623578"/>
    <w:rsid w:val="006235B4"/>
    <w:rsid w:val="00625922"/>
    <w:rsid w:val="00632B64"/>
    <w:rsid w:val="006378C7"/>
    <w:rsid w:val="00637B8D"/>
    <w:rsid w:val="00654548"/>
    <w:rsid w:val="006627A9"/>
    <w:rsid w:val="006644DF"/>
    <w:rsid w:val="0067256A"/>
    <w:rsid w:val="0067318B"/>
    <w:rsid w:val="006733B0"/>
    <w:rsid w:val="006811F1"/>
    <w:rsid w:val="00682ECC"/>
    <w:rsid w:val="00683889"/>
    <w:rsid w:val="0068434B"/>
    <w:rsid w:val="00690B17"/>
    <w:rsid w:val="00695648"/>
    <w:rsid w:val="006A1A09"/>
    <w:rsid w:val="006A374B"/>
    <w:rsid w:val="006A4D6C"/>
    <w:rsid w:val="006A5621"/>
    <w:rsid w:val="006B11AD"/>
    <w:rsid w:val="006B5718"/>
    <w:rsid w:val="006B6360"/>
    <w:rsid w:val="006D2719"/>
    <w:rsid w:val="006D4731"/>
    <w:rsid w:val="006D7198"/>
    <w:rsid w:val="006E47C4"/>
    <w:rsid w:val="006F19C9"/>
    <w:rsid w:val="006F2E83"/>
    <w:rsid w:val="00700A52"/>
    <w:rsid w:val="007027FC"/>
    <w:rsid w:val="007033E4"/>
    <w:rsid w:val="00704042"/>
    <w:rsid w:val="007041C2"/>
    <w:rsid w:val="00704927"/>
    <w:rsid w:val="0070712E"/>
    <w:rsid w:val="00710312"/>
    <w:rsid w:val="007103CB"/>
    <w:rsid w:val="00712961"/>
    <w:rsid w:val="0071492B"/>
    <w:rsid w:val="007156AA"/>
    <w:rsid w:val="0071763D"/>
    <w:rsid w:val="00720816"/>
    <w:rsid w:val="00721734"/>
    <w:rsid w:val="007234AF"/>
    <w:rsid w:val="007239BA"/>
    <w:rsid w:val="00723F09"/>
    <w:rsid w:val="00727243"/>
    <w:rsid w:val="00727CC1"/>
    <w:rsid w:val="00735E7D"/>
    <w:rsid w:val="007404B2"/>
    <w:rsid w:val="0074062C"/>
    <w:rsid w:val="00742821"/>
    <w:rsid w:val="0074770F"/>
    <w:rsid w:val="007503DB"/>
    <w:rsid w:val="007527A3"/>
    <w:rsid w:val="00763CC7"/>
    <w:rsid w:val="00770686"/>
    <w:rsid w:val="00772DEA"/>
    <w:rsid w:val="00773AA4"/>
    <w:rsid w:val="00773BF8"/>
    <w:rsid w:val="007749D8"/>
    <w:rsid w:val="00774B97"/>
    <w:rsid w:val="007750CF"/>
    <w:rsid w:val="00776371"/>
    <w:rsid w:val="007774F7"/>
    <w:rsid w:val="00777BFA"/>
    <w:rsid w:val="00783B58"/>
    <w:rsid w:val="007848FD"/>
    <w:rsid w:val="00790577"/>
    <w:rsid w:val="007A044E"/>
    <w:rsid w:val="007A54C4"/>
    <w:rsid w:val="007A6B37"/>
    <w:rsid w:val="007B1918"/>
    <w:rsid w:val="007B2CAD"/>
    <w:rsid w:val="007B3962"/>
    <w:rsid w:val="007B51E6"/>
    <w:rsid w:val="007B57FE"/>
    <w:rsid w:val="007B6835"/>
    <w:rsid w:val="007C02D8"/>
    <w:rsid w:val="007C127B"/>
    <w:rsid w:val="007C18B9"/>
    <w:rsid w:val="007D1087"/>
    <w:rsid w:val="007D1CCD"/>
    <w:rsid w:val="007D4BEC"/>
    <w:rsid w:val="007E4310"/>
    <w:rsid w:val="007E5C4D"/>
    <w:rsid w:val="007F2607"/>
    <w:rsid w:val="007F3B80"/>
    <w:rsid w:val="007F5D75"/>
    <w:rsid w:val="00802256"/>
    <w:rsid w:val="00802464"/>
    <w:rsid w:val="0080784E"/>
    <w:rsid w:val="00811E75"/>
    <w:rsid w:val="0081405A"/>
    <w:rsid w:val="00814D81"/>
    <w:rsid w:val="00817371"/>
    <w:rsid w:val="00825432"/>
    <w:rsid w:val="00827096"/>
    <w:rsid w:val="00834694"/>
    <w:rsid w:val="008346B1"/>
    <w:rsid w:val="008350DD"/>
    <w:rsid w:val="008526C2"/>
    <w:rsid w:val="00857552"/>
    <w:rsid w:val="00857F7B"/>
    <w:rsid w:val="0086799B"/>
    <w:rsid w:val="00871BBD"/>
    <w:rsid w:val="00872794"/>
    <w:rsid w:val="00872AE5"/>
    <w:rsid w:val="0087443B"/>
    <w:rsid w:val="00874A0C"/>
    <w:rsid w:val="00875970"/>
    <w:rsid w:val="0087629A"/>
    <w:rsid w:val="00882454"/>
    <w:rsid w:val="00885A4C"/>
    <w:rsid w:val="00887D5D"/>
    <w:rsid w:val="008910D1"/>
    <w:rsid w:val="00892EBD"/>
    <w:rsid w:val="008B2765"/>
    <w:rsid w:val="008B60CC"/>
    <w:rsid w:val="008B6129"/>
    <w:rsid w:val="008C7A5C"/>
    <w:rsid w:val="008D67C7"/>
    <w:rsid w:val="008E08E0"/>
    <w:rsid w:val="008E15BC"/>
    <w:rsid w:val="008E2717"/>
    <w:rsid w:val="008E3F68"/>
    <w:rsid w:val="008E7657"/>
    <w:rsid w:val="008F7C90"/>
    <w:rsid w:val="00903025"/>
    <w:rsid w:val="00907AE2"/>
    <w:rsid w:val="00907DA1"/>
    <w:rsid w:val="0091199A"/>
    <w:rsid w:val="009207E1"/>
    <w:rsid w:val="009274E6"/>
    <w:rsid w:val="0092776A"/>
    <w:rsid w:val="0093041C"/>
    <w:rsid w:val="00934D59"/>
    <w:rsid w:val="009373C1"/>
    <w:rsid w:val="009375E2"/>
    <w:rsid w:val="00937AA3"/>
    <w:rsid w:val="009426E4"/>
    <w:rsid w:val="009435B6"/>
    <w:rsid w:val="0095000C"/>
    <w:rsid w:val="00950D5A"/>
    <w:rsid w:val="009521A7"/>
    <w:rsid w:val="00952D3A"/>
    <w:rsid w:val="00953B18"/>
    <w:rsid w:val="00954BA1"/>
    <w:rsid w:val="009564C5"/>
    <w:rsid w:val="00971499"/>
    <w:rsid w:val="00971899"/>
    <w:rsid w:val="009720A7"/>
    <w:rsid w:val="009722F1"/>
    <w:rsid w:val="009730A1"/>
    <w:rsid w:val="00974BA1"/>
    <w:rsid w:val="009770EB"/>
    <w:rsid w:val="00994622"/>
    <w:rsid w:val="009A002D"/>
    <w:rsid w:val="009A0037"/>
    <w:rsid w:val="009A0BBB"/>
    <w:rsid w:val="009A16D7"/>
    <w:rsid w:val="009A1C6F"/>
    <w:rsid w:val="009A1E7E"/>
    <w:rsid w:val="009A29BE"/>
    <w:rsid w:val="009A3976"/>
    <w:rsid w:val="009A5064"/>
    <w:rsid w:val="009A640D"/>
    <w:rsid w:val="009B2285"/>
    <w:rsid w:val="009B4F39"/>
    <w:rsid w:val="009C0C4C"/>
    <w:rsid w:val="009C2727"/>
    <w:rsid w:val="009C529A"/>
    <w:rsid w:val="009D023A"/>
    <w:rsid w:val="009D045E"/>
    <w:rsid w:val="009D1D5C"/>
    <w:rsid w:val="009D2551"/>
    <w:rsid w:val="009D4EF4"/>
    <w:rsid w:val="009D59A7"/>
    <w:rsid w:val="009E0EEF"/>
    <w:rsid w:val="009E29F7"/>
    <w:rsid w:val="009E4D1B"/>
    <w:rsid w:val="009F137F"/>
    <w:rsid w:val="009F4B99"/>
    <w:rsid w:val="00A0005D"/>
    <w:rsid w:val="00A003A9"/>
    <w:rsid w:val="00A00B43"/>
    <w:rsid w:val="00A0316F"/>
    <w:rsid w:val="00A031F3"/>
    <w:rsid w:val="00A041A5"/>
    <w:rsid w:val="00A05B30"/>
    <w:rsid w:val="00A060D6"/>
    <w:rsid w:val="00A31AA6"/>
    <w:rsid w:val="00A325BC"/>
    <w:rsid w:val="00A32FF7"/>
    <w:rsid w:val="00A34524"/>
    <w:rsid w:val="00A363FB"/>
    <w:rsid w:val="00A41B25"/>
    <w:rsid w:val="00A55C92"/>
    <w:rsid w:val="00A606D9"/>
    <w:rsid w:val="00A73148"/>
    <w:rsid w:val="00A7321E"/>
    <w:rsid w:val="00A73347"/>
    <w:rsid w:val="00A85537"/>
    <w:rsid w:val="00A8660B"/>
    <w:rsid w:val="00A95A3B"/>
    <w:rsid w:val="00A96A81"/>
    <w:rsid w:val="00AA2B11"/>
    <w:rsid w:val="00AB4F32"/>
    <w:rsid w:val="00AC14DC"/>
    <w:rsid w:val="00AD2766"/>
    <w:rsid w:val="00AD593E"/>
    <w:rsid w:val="00AE1088"/>
    <w:rsid w:val="00AE6B7F"/>
    <w:rsid w:val="00AE6D69"/>
    <w:rsid w:val="00AE7A15"/>
    <w:rsid w:val="00AF4F42"/>
    <w:rsid w:val="00AF6750"/>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57930"/>
    <w:rsid w:val="00B63B42"/>
    <w:rsid w:val="00B644A6"/>
    <w:rsid w:val="00B6598B"/>
    <w:rsid w:val="00B65BF0"/>
    <w:rsid w:val="00B65DCD"/>
    <w:rsid w:val="00B75A5A"/>
    <w:rsid w:val="00B81BAC"/>
    <w:rsid w:val="00B8322A"/>
    <w:rsid w:val="00B833D2"/>
    <w:rsid w:val="00B917BB"/>
    <w:rsid w:val="00B94F5B"/>
    <w:rsid w:val="00B95B16"/>
    <w:rsid w:val="00B96E64"/>
    <w:rsid w:val="00B97548"/>
    <w:rsid w:val="00BA2E57"/>
    <w:rsid w:val="00BA366F"/>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177CA"/>
    <w:rsid w:val="00C21EF7"/>
    <w:rsid w:val="00C24085"/>
    <w:rsid w:val="00C31373"/>
    <w:rsid w:val="00C321FD"/>
    <w:rsid w:val="00C34C03"/>
    <w:rsid w:val="00C379B4"/>
    <w:rsid w:val="00C37AE0"/>
    <w:rsid w:val="00C42328"/>
    <w:rsid w:val="00C80086"/>
    <w:rsid w:val="00C83ED0"/>
    <w:rsid w:val="00C8600C"/>
    <w:rsid w:val="00C91CB0"/>
    <w:rsid w:val="00CA095E"/>
    <w:rsid w:val="00CA1B7A"/>
    <w:rsid w:val="00CA33EC"/>
    <w:rsid w:val="00CB38F0"/>
    <w:rsid w:val="00CB480C"/>
    <w:rsid w:val="00CB6923"/>
    <w:rsid w:val="00CB6B2A"/>
    <w:rsid w:val="00CC2BCF"/>
    <w:rsid w:val="00CC72A6"/>
    <w:rsid w:val="00CD4D59"/>
    <w:rsid w:val="00CD5C7D"/>
    <w:rsid w:val="00CE4795"/>
    <w:rsid w:val="00CE6774"/>
    <w:rsid w:val="00CE6BF9"/>
    <w:rsid w:val="00CF19CB"/>
    <w:rsid w:val="00CF3C69"/>
    <w:rsid w:val="00D04B32"/>
    <w:rsid w:val="00D04D07"/>
    <w:rsid w:val="00D076A7"/>
    <w:rsid w:val="00D2100A"/>
    <w:rsid w:val="00D240BD"/>
    <w:rsid w:val="00D26058"/>
    <w:rsid w:val="00D260A3"/>
    <w:rsid w:val="00D3412E"/>
    <w:rsid w:val="00D37D7C"/>
    <w:rsid w:val="00D457D1"/>
    <w:rsid w:val="00D459A2"/>
    <w:rsid w:val="00D508B7"/>
    <w:rsid w:val="00D531D7"/>
    <w:rsid w:val="00D53C0C"/>
    <w:rsid w:val="00D549DF"/>
    <w:rsid w:val="00D6705F"/>
    <w:rsid w:val="00D8351E"/>
    <w:rsid w:val="00D868C2"/>
    <w:rsid w:val="00D90902"/>
    <w:rsid w:val="00D94695"/>
    <w:rsid w:val="00D948E1"/>
    <w:rsid w:val="00D970ED"/>
    <w:rsid w:val="00DA1BCC"/>
    <w:rsid w:val="00DB045C"/>
    <w:rsid w:val="00DB123D"/>
    <w:rsid w:val="00DB3FD2"/>
    <w:rsid w:val="00DB741D"/>
    <w:rsid w:val="00DC4F1C"/>
    <w:rsid w:val="00DD2C61"/>
    <w:rsid w:val="00DD4A3A"/>
    <w:rsid w:val="00DE07D3"/>
    <w:rsid w:val="00DE65D6"/>
    <w:rsid w:val="00DF151A"/>
    <w:rsid w:val="00DF18A6"/>
    <w:rsid w:val="00DF31CC"/>
    <w:rsid w:val="00DF3E30"/>
    <w:rsid w:val="00DF6A15"/>
    <w:rsid w:val="00E034C2"/>
    <w:rsid w:val="00E05E04"/>
    <w:rsid w:val="00E06A99"/>
    <w:rsid w:val="00E1422B"/>
    <w:rsid w:val="00E14505"/>
    <w:rsid w:val="00E21C18"/>
    <w:rsid w:val="00E250F3"/>
    <w:rsid w:val="00E26089"/>
    <w:rsid w:val="00E2613C"/>
    <w:rsid w:val="00E30201"/>
    <w:rsid w:val="00E34689"/>
    <w:rsid w:val="00E43F98"/>
    <w:rsid w:val="00E474BF"/>
    <w:rsid w:val="00E5042C"/>
    <w:rsid w:val="00E579A4"/>
    <w:rsid w:val="00E60147"/>
    <w:rsid w:val="00E60C5E"/>
    <w:rsid w:val="00E664D6"/>
    <w:rsid w:val="00E701FF"/>
    <w:rsid w:val="00E7461B"/>
    <w:rsid w:val="00E77B59"/>
    <w:rsid w:val="00E80284"/>
    <w:rsid w:val="00E84AFD"/>
    <w:rsid w:val="00E933F8"/>
    <w:rsid w:val="00EA14A6"/>
    <w:rsid w:val="00EB1D18"/>
    <w:rsid w:val="00EB329B"/>
    <w:rsid w:val="00EB44C9"/>
    <w:rsid w:val="00EC447F"/>
    <w:rsid w:val="00EC7921"/>
    <w:rsid w:val="00ED3148"/>
    <w:rsid w:val="00ED6CAB"/>
    <w:rsid w:val="00EE67B5"/>
    <w:rsid w:val="00EF03C5"/>
    <w:rsid w:val="00EF2D74"/>
    <w:rsid w:val="00EF30DC"/>
    <w:rsid w:val="00EF7CA2"/>
    <w:rsid w:val="00F01489"/>
    <w:rsid w:val="00F03E32"/>
    <w:rsid w:val="00F11A13"/>
    <w:rsid w:val="00F17F02"/>
    <w:rsid w:val="00F202B9"/>
    <w:rsid w:val="00F21AA6"/>
    <w:rsid w:val="00F22256"/>
    <w:rsid w:val="00F25A44"/>
    <w:rsid w:val="00F32717"/>
    <w:rsid w:val="00F33D58"/>
    <w:rsid w:val="00F34AE2"/>
    <w:rsid w:val="00F379F0"/>
    <w:rsid w:val="00F41677"/>
    <w:rsid w:val="00F45322"/>
    <w:rsid w:val="00F45DBE"/>
    <w:rsid w:val="00F5462E"/>
    <w:rsid w:val="00F55880"/>
    <w:rsid w:val="00F6389C"/>
    <w:rsid w:val="00F73988"/>
    <w:rsid w:val="00F8134B"/>
    <w:rsid w:val="00F814D3"/>
    <w:rsid w:val="00F8631C"/>
    <w:rsid w:val="00F86F56"/>
    <w:rsid w:val="00F87734"/>
    <w:rsid w:val="00F87F34"/>
    <w:rsid w:val="00F909C8"/>
    <w:rsid w:val="00F91D5F"/>
    <w:rsid w:val="00FA5270"/>
    <w:rsid w:val="00FB2934"/>
    <w:rsid w:val="00FB439C"/>
    <w:rsid w:val="00FB4512"/>
    <w:rsid w:val="00FB470E"/>
    <w:rsid w:val="00FC0A87"/>
    <w:rsid w:val="00FC339C"/>
    <w:rsid w:val="00FC4859"/>
    <w:rsid w:val="00FC5870"/>
    <w:rsid w:val="00FC5CDF"/>
    <w:rsid w:val="00FD66F8"/>
    <w:rsid w:val="00FE1924"/>
    <w:rsid w:val="00FE210B"/>
    <w:rsid w:val="00FE235F"/>
    <w:rsid w:val="00FE4AF4"/>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8C9190"/>
  <w15:docId w15:val="{D233EA21-040E-418D-B39D-1AB4ACEC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717"/>
    <w:rPr>
      <w:rFonts w:ascii="Arial" w:hAnsi="Arial"/>
      <w:sz w:val="22"/>
    </w:rPr>
  </w:style>
  <w:style w:type="paragraph" w:styleId="Heading1">
    <w:name w:val="heading 1"/>
    <w:basedOn w:val="Normal"/>
    <w:next w:val="Normal"/>
    <w:link w:val="Heading1Char"/>
    <w:qFormat/>
    <w:rsid w:val="00D076A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076A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32717"/>
    <w:pPr>
      <w:tabs>
        <w:tab w:val="left" w:pos="720"/>
      </w:tabs>
      <w:spacing w:after="120"/>
      <w:ind w:left="720" w:hanging="360"/>
      <w:outlineLvl w:val="2"/>
    </w:pPr>
    <w:rPr>
      <w:szCs w:val="24"/>
    </w:rPr>
  </w:style>
  <w:style w:type="paragraph" w:styleId="Heading4">
    <w:name w:val="heading 4"/>
    <w:basedOn w:val="Normal"/>
    <w:next w:val="Normal"/>
    <w:link w:val="Heading4Char"/>
    <w:qFormat/>
    <w:rsid w:val="00F32717"/>
    <w:pPr>
      <w:tabs>
        <w:tab w:val="left" w:pos="1080"/>
      </w:tabs>
      <w:spacing w:after="120"/>
      <w:ind w:left="1080" w:hanging="360"/>
      <w:outlineLvl w:val="3"/>
    </w:pPr>
  </w:style>
  <w:style w:type="paragraph" w:styleId="Heading5">
    <w:name w:val="heading 5"/>
    <w:basedOn w:val="Normal"/>
    <w:next w:val="Normal"/>
    <w:link w:val="Heading5Char"/>
    <w:qFormat/>
    <w:rsid w:val="00F32717"/>
    <w:pPr>
      <w:tabs>
        <w:tab w:val="left" w:pos="1440"/>
      </w:tabs>
      <w:spacing w:after="120"/>
      <w:ind w:left="1440" w:hanging="360"/>
      <w:outlineLvl w:val="4"/>
    </w:pPr>
  </w:style>
  <w:style w:type="paragraph" w:styleId="Heading6">
    <w:name w:val="heading 6"/>
    <w:basedOn w:val="Heading5"/>
    <w:next w:val="Normal"/>
    <w:link w:val="Heading6Char"/>
    <w:unhideWhenUsed/>
    <w:qFormat/>
    <w:rsid w:val="00F32717"/>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32717"/>
    <w:pPr>
      <w:tabs>
        <w:tab w:val="decimal" w:pos="540"/>
        <w:tab w:val="left" w:pos="1260"/>
      </w:tabs>
    </w:pPr>
  </w:style>
  <w:style w:type="paragraph" w:styleId="BalloonText">
    <w:name w:val="Balloon Text"/>
    <w:basedOn w:val="Normal"/>
    <w:link w:val="BalloonTextChar"/>
    <w:semiHidden/>
    <w:rsid w:val="00F32717"/>
    <w:rPr>
      <w:rFonts w:ascii="Tahoma" w:hAnsi="Tahoma" w:cs="Tahoma"/>
      <w:sz w:val="16"/>
      <w:szCs w:val="16"/>
    </w:rPr>
  </w:style>
  <w:style w:type="character" w:customStyle="1" w:styleId="BalloonTextChar">
    <w:name w:val="Balloon Text Char"/>
    <w:link w:val="BalloonText"/>
    <w:semiHidden/>
    <w:rsid w:val="00F32717"/>
    <w:rPr>
      <w:rFonts w:ascii="Tahoma" w:hAnsi="Tahoma" w:cs="Tahoma"/>
      <w:sz w:val="16"/>
      <w:szCs w:val="16"/>
    </w:rPr>
  </w:style>
  <w:style w:type="paragraph" w:styleId="BlockText">
    <w:name w:val="Block Text"/>
    <w:basedOn w:val="Normal"/>
    <w:rsid w:val="00F32717"/>
    <w:pPr>
      <w:spacing w:after="120"/>
      <w:ind w:left="1440" w:right="1440"/>
    </w:pPr>
  </w:style>
  <w:style w:type="paragraph" w:customStyle="1" w:styleId="Blockquote">
    <w:name w:val="Blockquote"/>
    <w:basedOn w:val="Normal"/>
    <w:rsid w:val="00F32717"/>
    <w:pPr>
      <w:spacing w:before="100" w:after="100"/>
      <w:ind w:left="360" w:right="360"/>
    </w:pPr>
    <w:rPr>
      <w:snapToGrid w:val="0"/>
    </w:rPr>
  </w:style>
  <w:style w:type="paragraph" w:styleId="BodyText">
    <w:name w:val="Body Text"/>
    <w:basedOn w:val="Normal"/>
    <w:link w:val="BodyTextChar"/>
    <w:autoRedefine/>
    <w:qFormat/>
    <w:rsid w:val="00F32717"/>
    <w:pPr>
      <w:spacing w:after="120"/>
    </w:pPr>
    <w:rPr>
      <w:szCs w:val="22"/>
    </w:rPr>
  </w:style>
  <w:style w:type="character" w:customStyle="1" w:styleId="BodyTextChar">
    <w:name w:val="Body Text Char"/>
    <w:link w:val="BodyText"/>
    <w:rsid w:val="00F32717"/>
    <w:rPr>
      <w:rFonts w:ascii="Arial" w:hAnsi="Arial"/>
      <w:sz w:val="22"/>
      <w:szCs w:val="22"/>
    </w:rPr>
  </w:style>
  <w:style w:type="paragraph" w:customStyle="1" w:styleId="BodyText25Italic">
    <w:name w:val="Body Text .25&quot; Italic"/>
    <w:basedOn w:val="BodyText"/>
    <w:next w:val="BodyText"/>
    <w:rsid w:val="00F32717"/>
    <w:rPr>
      <w:i/>
      <w:iCs/>
    </w:rPr>
  </w:style>
  <w:style w:type="paragraph" w:customStyle="1" w:styleId="BodyTextItalic">
    <w:name w:val="Body Text + Italic"/>
    <w:basedOn w:val="BodyText"/>
    <w:rsid w:val="00F32717"/>
    <w:rPr>
      <w:i/>
      <w:iCs/>
    </w:rPr>
  </w:style>
  <w:style w:type="paragraph" w:customStyle="1" w:styleId="BodyTextItalicBOT">
    <w:name w:val="Body Text + Italic BOT"/>
    <w:next w:val="BodyText"/>
    <w:qFormat/>
    <w:rsid w:val="00F32717"/>
    <w:rPr>
      <w:rFonts w:ascii="Arial" w:hAnsi="Arial"/>
      <w:i/>
      <w:sz w:val="22"/>
      <w:szCs w:val="22"/>
    </w:rPr>
  </w:style>
  <w:style w:type="paragraph" w:customStyle="1" w:styleId="BodyText025">
    <w:name w:val="Body Text 0.25&quot;"/>
    <w:basedOn w:val="Normal"/>
    <w:autoRedefine/>
    <w:rsid w:val="00892EBD"/>
    <w:pPr>
      <w:spacing w:after="120"/>
      <w:ind w:left="360"/>
    </w:pPr>
    <w:rPr>
      <w:szCs w:val="24"/>
    </w:rPr>
  </w:style>
  <w:style w:type="paragraph" w:customStyle="1" w:styleId="BodyText05">
    <w:name w:val="Body Text 0.5&quot;"/>
    <w:basedOn w:val="BodyText"/>
    <w:qFormat/>
    <w:rsid w:val="009A1C6F"/>
    <w:pPr>
      <w:ind w:left="720"/>
    </w:pPr>
    <w:rPr>
      <w:szCs w:val="20"/>
    </w:rPr>
  </w:style>
  <w:style w:type="paragraph" w:customStyle="1" w:styleId="BodyText075">
    <w:name w:val="Body Text 0.75&quot;"/>
    <w:basedOn w:val="BodyText"/>
    <w:autoRedefine/>
    <w:qFormat/>
    <w:rsid w:val="00F32717"/>
    <w:pPr>
      <w:ind w:left="1080"/>
    </w:pPr>
  </w:style>
  <w:style w:type="paragraph" w:customStyle="1" w:styleId="BodyTextPolicyContact">
    <w:name w:val="Body Text Policy Contact"/>
    <w:basedOn w:val="Normal"/>
    <w:qFormat/>
    <w:rsid w:val="00F32717"/>
    <w:pPr>
      <w:spacing w:before="120"/>
    </w:pPr>
  </w:style>
  <w:style w:type="character" w:styleId="CommentReference">
    <w:name w:val="annotation reference"/>
    <w:rsid w:val="00F32717"/>
    <w:rPr>
      <w:sz w:val="16"/>
      <w:szCs w:val="16"/>
    </w:rPr>
  </w:style>
  <w:style w:type="paragraph" w:styleId="CommentText">
    <w:name w:val="annotation text"/>
    <w:basedOn w:val="Normal"/>
    <w:link w:val="CommentTextChar"/>
    <w:semiHidden/>
    <w:rsid w:val="00F32717"/>
  </w:style>
  <w:style w:type="character" w:customStyle="1" w:styleId="CommentTextChar">
    <w:name w:val="Comment Text Char"/>
    <w:link w:val="CommentText"/>
    <w:semiHidden/>
    <w:rsid w:val="00F32717"/>
    <w:rPr>
      <w:rFonts w:ascii="Arial" w:hAnsi="Arial"/>
      <w:sz w:val="22"/>
    </w:rPr>
  </w:style>
  <w:style w:type="character" w:styleId="Hyperlink">
    <w:name w:val="Hyperlink"/>
    <w:rsid w:val="00F32717"/>
    <w:rPr>
      <w:color w:val="0000FF"/>
      <w:u w:val="single"/>
    </w:rPr>
  </w:style>
  <w:style w:type="paragraph" w:customStyle="1" w:styleId="CommentSubject1">
    <w:name w:val="Comment Subject1"/>
    <w:basedOn w:val="CommentText"/>
    <w:next w:val="CommentText"/>
    <w:link w:val="CommentSubjectChar"/>
    <w:rsid w:val="00F32717"/>
    <w:rPr>
      <w:b/>
      <w:bCs/>
    </w:rPr>
  </w:style>
  <w:style w:type="character" w:customStyle="1" w:styleId="CommentSubjectChar">
    <w:name w:val="Comment Subject Char"/>
    <w:link w:val="CommentSubject1"/>
    <w:rsid w:val="00F32717"/>
    <w:rPr>
      <w:rFonts w:ascii="Arial" w:hAnsi="Arial"/>
      <w:b/>
      <w:bCs/>
      <w:sz w:val="22"/>
    </w:rPr>
  </w:style>
  <w:style w:type="paragraph" w:styleId="EnvelopeAddress">
    <w:name w:val="envelope address"/>
    <w:basedOn w:val="Normal"/>
    <w:rsid w:val="00F32717"/>
    <w:pPr>
      <w:framePr w:w="7920" w:h="1980" w:hRule="exact" w:hSpace="180" w:wrap="auto" w:hAnchor="page" w:xAlign="center" w:yAlign="bottom"/>
      <w:ind w:left="2880"/>
    </w:pPr>
    <w:rPr>
      <w:caps/>
      <w:sz w:val="24"/>
    </w:rPr>
  </w:style>
  <w:style w:type="character" w:styleId="FollowedHyperlink">
    <w:name w:val="FollowedHyperlink"/>
    <w:rsid w:val="00F32717"/>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F32717"/>
    <w:pPr>
      <w:tabs>
        <w:tab w:val="center" w:pos="4320"/>
        <w:tab w:val="right" w:pos="8640"/>
      </w:tabs>
    </w:pPr>
  </w:style>
  <w:style w:type="character" w:customStyle="1" w:styleId="FooterChar">
    <w:name w:val="Footer Char"/>
    <w:link w:val="Footer"/>
    <w:rsid w:val="00F32717"/>
    <w:rPr>
      <w:rFonts w:ascii="Arial" w:hAnsi="Arial"/>
      <w:sz w:val="22"/>
    </w:rPr>
  </w:style>
  <w:style w:type="paragraph" w:customStyle="1" w:styleId="H2">
    <w:name w:val="H2"/>
    <w:basedOn w:val="Normal"/>
    <w:next w:val="Normal"/>
    <w:rsid w:val="00F32717"/>
    <w:pPr>
      <w:keepNext/>
      <w:spacing w:before="100" w:after="100"/>
      <w:outlineLvl w:val="2"/>
    </w:pPr>
    <w:rPr>
      <w:b/>
      <w:snapToGrid w:val="0"/>
      <w:sz w:val="36"/>
    </w:rPr>
  </w:style>
  <w:style w:type="paragraph" w:styleId="Header">
    <w:name w:val="header"/>
    <w:basedOn w:val="Normal"/>
    <w:link w:val="HeaderChar"/>
    <w:rsid w:val="00F32717"/>
    <w:pPr>
      <w:tabs>
        <w:tab w:val="center" w:pos="4320"/>
        <w:tab w:val="right" w:pos="8640"/>
      </w:tabs>
    </w:pPr>
    <w:rPr>
      <w:szCs w:val="24"/>
    </w:rPr>
  </w:style>
  <w:style w:type="character" w:customStyle="1" w:styleId="HeaderChar">
    <w:name w:val="Header Char"/>
    <w:link w:val="Header"/>
    <w:rsid w:val="00F32717"/>
    <w:rPr>
      <w:rFonts w:ascii="Arial" w:hAnsi="Arial"/>
      <w:sz w:val="22"/>
      <w:szCs w:val="24"/>
    </w:rPr>
  </w:style>
  <w:style w:type="character" w:customStyle="1" w:styleId="Heading1Char">
    <w:name w:val="Heading 1 Char"/>
    <w:link w:val="Heading1"/>
    <w:rsid w:val="00D076A7"/>
    <w:rPr>
      <w:rFonts w:ascii="Arial" w:hAnsi="Arial"/>
      <w:b/>
      <w:sz w:val="22"/>
      <w:szCs w:val="22"/>
    </w:rPr>
  </w:style>
  <w:style w:type="character" w:customStyle="1" w:styleId="Heading2Char">
    <w:name w:val="Heading 2 Char"/>
    <w:link w:val="Heading2"/>
    <w:rsid w:val="00D076A7"/>
    <w:rPr>
      <w:rFonts w:ascii="Arial" w:eastAsia="MS Mincho" w:hAnsi="Arial"/>
      <w:b/>
      <w:sz w:val="22"/>
      <w:szCs w:val="22"/>
    </w:rPr>
  </w:style>
  <w:style w:type="character" w:customStyle="1" w:styleId="Heading3Char">
    <w:name w:val="Heading 3 Char"/>
    <w:link w:val="Heading3"/>
    <w:rsid w:val="00F32717"/>
    <w:rPr>
      <w:rFonts w:ascii="Arial" w:hAnsi="Arial"/>
      <w:sz w:val="22"/>
      <w:szCs w:val="24"/>
    </w:rPr>
  </w:style>
  <w:style w:type="character" w:customStyle="1" w:styleId="Heading4Char">
    <w:name w:val="Heading 4 Char"/>
    <w:link w:val="Heading4"/>
    <w:rsid w:val="00F32717"/>
    <w:rPr>
      <w:rFonts w:ascii="Arial" w:hAnsi="Arial"/>
      <w:sz w:val="22"/>
    </w:rPr>
  </w:style>
  <w:style w:type="character" w:customStyle="1" w:styleId="Heading5Char">
    <w:name w:val="Heading 5 Char"/>
    <w:link w:val="Heading5"/>
    <w:rsid w:val="00F32717"/>
    <w:rPr>
      <w:rFonts w:ascii="Arial" w:hAnsi="Arial"/>
      <w:sz w:val="22"/>
    </w:rPr>
  </w:style>
  <w:style w:type="character" w:customStyle="1" w:styleId="Heading6Char">
    <w:name w:val="Heading 6 Char"/>
    <w:link w:val="Heading6"/>
    <w:rsid w:val="00F32717"/>
    <w:rPr>
      <w:rFonts w:ascii="Arial" w:hAnsi="Arial"/>
      <w:sz w:val="22"/>
    </w:rPr>
  </w:style>
  <w:style w:type="paragraph" w:styleId="HTMLPreformatted">
    <w:name w:val="HTML Preformatted"/>
    <w:basedOn w:val="Normal"/>
    <w:link w:val="HTMLPreformattedChar"/>
    <w:rsid w:val="00F32717"/>
    <w:rPr>
      <w:rFonts w:ascii="Courier New" w:hAnsi="Courier New" w:cs="Courier New"/>
    </w:rPr>
  </w:style>
  <w:style w:type="character" w:customStyle="1" w:styleId="HTMLPreformattedChar">
    <w:name w:val="HTML Preformatted Char"/>
    <w:link w:val="HTMLPreformatted"/>
    <w:rsid w:val="00F32717"/>
    <w:rPr>
      <w:rFonts w:ascii="Courier New" w:hAnsi="Courier New" w:cs="Courier New"/>
      <w:sz w:val="22"/>
    </w:rPr>
  </w:style>
  <w:style w:type="paragraph" w:styleId="ListParagraph">
    <w:name w:val="List Paragraph"/>
    <w:basedOn w:val="Normal"/>
    <w:uiPriority w:val="34"/>
    <w:qFormat/>
    <w:rsid w:val="00F32717"/>
    <w:pPr>
      <w:ind w:left="720"/>
    </w:pPr>
  </w:style>
  <w:style w:type="paragraph" w:styleId="NormalWeb">
    <w:name w:val="Normal (Web)"/>
    <w:basedOn w:val="Normal"/>
    <w:autoRedefine/>
    <w:rsid w:val="00F32717"/>
  </w:style>
  <w:style w:type="paragraph" w:styleId="PlainText">
    <w:name w:val="Plain Text"/>
    <w:basedOn w:val="Normal"/>
    <w:link w:val="PlainTextChar"/>
    <w:rsid w:val="00F32717"/>
    <w:rPr>
      <w:rFonts w:ascii="Courier New" w:hAnsi="Courier New" w:cs="Courier New"/>
    </w:rPr>
  </w:style>
  <w:style w:type="character" w:customStyle="1" w:styleId="PlainTextChar">
    <w:name w:val="Plain Text Char"/>
    <w:link w:val="PlainText"/>
    <w:rsid w:val="00F32717"/>
    <w:rPr>
      <w:rFonts w:ascii="Courier New" w:hAnsi="Courier New" w:cs="Courier New"/>
      <w:sz w:val="22"/>
    </w:rPr>
  </w:style>
  <w:style w:type="paragraph" w:customStyle="1" w:styleId="RelatedPP">
    <w:name w:val="Related P &amp; P"/>
    <w:basedOn w:val="Normal"/>
    <w:next w:val="BodyText"/>
    <w:qFormat/>
    <w:rsid w:val="00F32717"/>
    <w:pPr>
      <w:spacing w:before="120" w:after="120"/>
    </w:pPr>
    <w:rPr>
      <w:b/>
    </w:rPr>
  </w:style>
  <w:style w:type="character" w:styleId="Strong">
    <w:name w:val="Strong"/>
    <w:qFormat/>
    <w:rsid w:val="00F32717"/>
    <w:rPr>
      <w:b/>
      <w:bCs/>
    </w:rPr>
  </w:style>
  <w:style w:type="paragraph" w:styleId="Title">
    <w:name w:val="Title"/>
    <w:basedOn w:val="Normal"/>
    <w:link w:val="TitleChar"/>
    <w:qFormat/>
    <w:rsid w:val="00F3271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32717"/>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704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229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287842">
      <w:bodyDiv w:val="1"/>
      <w:marLeft w:val="0"/>
      <w:marRight w:val="0"/>
      <w:marTop w:val="0"/>
      <w:marBottom w:val="0"/>
      <w:divBdr>
        <w:top w:val="none" w:sz="0" w:space="0" w:color="auto"/>
        <w:left w:val="none" w:sz="0" w:space="0" w:color="auto"/>
        <w:bottom w:val="none" w:sz="0" w:space="0" w:color="auto"/>
        <w:right w:val="none" w:sz="0" w:space="0" w:color="auto"/>
      </w:divBdr>
      <w:divsChild>
        <w:div w:id="1469317397">
          <w:marLeft w:val="0"/>
          <w:marRight w:val="0"/>
          <w:marTop w:val="0"/>
          <w:marBottom w:val="0"/>
          <w:divBdr>
            <w:top w:val="none" w:sz="0" w:space="0" w:color="auto"/>
            <w:left w:val="none" w:sz="0" w:space="0" w:color="auto"/>
            <w:bottom w:val="none" w:sz="0" w:space="0" w:color="auto"/>
            <w:right w:val="none" w:sz="0" w:space="0" w:color="auto"/>
          </w:divBdr>
          <w:divsChild>
            <w:div w:id="557938035">
              <w:marLeft w:val="0"/>
              <w:marRight w:val="0"/>
              <w:marTop w:val="0"/>
              <w:marBottom w:val="0"/>
              <w:divBdr>
                <w:top w:val="none" w:sz="0" w:space="0" w:color="auto"/>
                <w:left w:val="none" w:sz="0" w:space="0" w:color="auto"/>
                <w:bottom w:val="none" w:sz="0" w:space="0" w:color="auto"/>
                <w:right w:val="none" w:sz="0" w:space="0" w:color="auto"/>
              </w:divBdr>
            </w:div>
            <w:div w:id="1809468689">
              <w:marLeft w:val="0"/>
              <w:marRight w:val="0"/>
              <w:marTop w:val="0"/>
              <w:marBottom w:val="0"/>
              <w:divBdr>
                <w:top w:val="none" w:sz="0" w:space="0" w:color="auto"/>
                <w:left w:val="none" w:sz="0" w:space="0" w:color="auto"/>
                <w:bottom w:val="none" w:sz="0" w:space="0" w:color="auto"/>
                <w:right w:val="none" w:sz="0" w:space="0" w:color="auto"/>
              </w:divBdr>
            </w:div>
            <w:div w:id="376127233">
              <w:marLeft w:val="0"/>
              <w:marRight w:val="0"/>
              <w:marTop w:val="0"/>
              <w:marBottom w:val="0"/>
              <w:divBdr>
                <w:top w:val="none" w:sz="0" w:space="0" w:color="auto"/>
                <w:left w:val="none" w:sz="0" w:space="0" w:color="auto"/>
                <w:bottom w:val="none" w:sz="0" w:space="0" w:color="auto"/>
                <w:right w:val="none" w:sz="0" w:space="0" w:color="auto"/>
              </w:divBdr>
            </w:div>
            <w:div w:id="790245168">
              <w:marLeft w:val="0"/>
              <w:marRight w:val="0"/>
              <w:marTop w:val="0"/>
              <w:marBottom w:val="0"/>
              <w:divBdr>
                <w:top w:val="none" w:sz="0" w:space="0" w:color="auto"/>
                <w:left w:val="none" w:sz="0" w:space="0" w:color="auto"/>
                <w:bottom w:val="none" w:sz="0" w:space="0" w:color="auto"/>
                <w:right w:val="none" w:sz="0" w:space="0" w:color="auto"/>
              </w:divBdr>
            </w:div>
          </w:divsChild>
        </w:div>
        <w:div w:id="457186248">
          <w:marLeft w:val="0"/>
          <w:marRight w:val="0"/>
          <w:marTop w:val="300"/>
          <w:marBottom w:val="0"/>
          <w:divBdr>
            <w:top w:val="none" w:sz="0" w:space="0" w:color="auto"/>
            <w:left w:val="none" w:sz="0" w:space="0" w:color="auto"/>
            <w:bottom w:val="none" w:sz="0" w:space="0" w:color="auto"/>
            <w:right w:val="none" w:sz="0" w:space="0" w:color="auto"/>
          </w:divBdr>
        </w:div>
      </w:divsChild>
    </w:div>
    <w:div w:id="1212691148">
      <w:bodyDiv w:val="1"/>
      <w:marLeft w:val="0"/>
      <w:marRight w:val="0"/>
      <w:marTop w:val="0"/>
      <w:marBottom w:val="0"/>
      <w:divBdr>
        <w:top w:val="none" w:sz="0" w:space="0" w:color="auto"/>
        <w:left w:val="none" w:sz="0" w:space="0" w:color="auto"/>
        <w:bottom w:val="none" w:sz="0" w:space="0" w:color="auto"/>
        <w:right w:val="none" w:sz="0" w:space="0" w:color="auto"/>
      </w:divBdr>
      <w:divsChild>
        <w:div w:id="1616059182">
          <w:marLeft w:val="480"/>
          <w:marRight w:val="0"/>
          <w:marTop w:val="0"/>
          <w:marBottom w:val="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9649221">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19-050" TargetMode="External"/><Relationship Id="rId18" Type="http://schemas.openxmlformats.org/officeDocument/2006/relationships/hyperlink" Target="https://apps.leg.wa.gov/WAC/default.aspx?cite=357-19-070" TargetMode="External"/><Relationship Id="rId26" Type="http://schemas.openxmlformats.org/officeDocument/2006/relationships/hyperlink" Target="https://apps.leg.wa.gov/WAC/default.aspx?cite=357-19-100" TargetMode="External"/><Relationship Id="rId39" Type="http://schemas.openxmlformats.org/officeDocument/2006/relationships/fontTable" Target="fontTable.xml"/><Relationship Id="rId21" Type="http://schemas.openxmlformats.org/officeDocument/2006/relationships/hyperlink" Target="https://apps.leg.wa.gov/WAC/default.aspx?cite=357-19-080"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s.leg.wa.gov/WAC/default.aspx?cite=357-19-040" TargetMode="External"/><Relationship Id="rId17" Type="http://schemas.openxmlformats.org/officeDocument/2006/relationships/hyperlink" Target="https://apps.leg.wa.gov/WAC/default.aspx?cite=357-31-355" TargetMode="External"/><Relationship Id="rId25" Type="http://schemas.openxmlformats.org/officeDocument/2006/relationships/hyperlink" Target="https://apps.leg.wa.gov/WAC/default.aspx?cite=357-46-18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ps.leg.wa.gov/WAC/default.aspx?cite=357-19-060" TargetMode="External"/><Relationship Id="rId20" Type="http://schemas.openxmlformats.org/officeDocument/2006/relationships/hyperlink" Target="https://apps.leg.wa.gov/WAC/default.aspx?cite=357-19-075" TargetMode="External"/><Relationship Id="rId29" Type="http://schemas.openxmlformats.org/officeDocument/2006/relationships/hyperlink" Target="https://apps.leg.wa.gov/WAC/default.aspx?cite=357-19-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9-030" TargetMode="External"/><Relationship Id="rId24" Type="http://schemas.openxmlformats.org/officeDocument/2006/relationships/hyperlink" Target="https://apps.leg.wa.gov/WAC/default.aspx?cite=357-19-095" TargetMode="External"/><Relationship Id="rId32" Type="http://schemas.openxmlformats.org/officeDocument/2006/relationships/hyperlink" Target="https://www.wvc.edu/humanresources/policies-procedures/500-human-resources/540.030-classified-promotional.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leg.wa.gov/WAC/default.aspx?cite=357-19-045" TargetMode="External"/><Relationship Id="rId23" Type="http://schemas.openxmlformats.org/officeDocument/2006/relationships/hyperlink" Target="https://apps.leg.wa.gov/WAC/default.aspx?cite=357-37030" TargetMode="External"/><Relationship Id="rId28" Type="http://schemas.openxmlformats.org/officeDocument/2006/relationships/hyperlink" Target="https://apps.leg.wa.gov/WAC/default.aspx?cite=357-19-11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ps.leg.wa.gov/WAC/default.aspx?cite=357-19-073" TargetMode="External"/><Relationship Id="rId31" Type="http://schemas.openxmlformats.org/officeDocument/2006/relationships/hyperlink" Target="https://apps.leg.wa.gov/WAC/default.aspx?cite=357-19-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19-045" TargetMode="External"/><Relationship Id="rId22" Type="http://schemas.openxmlformats.org/officeDocument/2006/relationships/hyperlink" Target="https://apps.leg.wa.gov/WAC/default.aspx?cite=357-19-085" TargetMode="External"/><Relationship Id="rId27" Type="http://schemas.openxmlformats.org/officeDocument/2006/relationships/hyperlink" Target="https://apps.leg.wa.gov/WAC/default.aspx?cite=357-19-105" TargetMode="External"/><Relationship Id="rId30" Type="http://schemas.openxmlformats.org/officeDocument/2006/relationships/hyperlink" Target="https://apps.leg.wa.gov/WAC/default.aspx?cite=357-19-117"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4E3F-B8D7-473E-B500-F8DB5E431A4E}">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136B66-FB00-476D-B807-2B5CB2AC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94A04A-B232-4FA8-9EBB-B4C969F97C54}">
  <ds:schemaRefs>
    <ds:schemaRef ds:uri="http://schemas.microsoft.com/sharepoint/v3/contenttype/forms"/>
  </ds:schemaRefs>
</ds:datastoreItem>
</file>

<file path=customXml/itemProps4.xml><?xml version="1.0" encoding="utf-8"?>
<ds:datastoreItem xmlns:ds="http://schemas.openxmlformats.org/officeDocument/2006/customXml" ds:itemID="{6A3B3213-6E74-4E1F-97A5-C87DB5C7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11425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6</cp:revision>
  <cp:lastPrinted>2010-03-18T18:29:00Z</cp:lastPrinted>
  <dcterms:created xsi:type="dcterms:W3CDTF">2023-04-22T20:49:00Z</dcterms:created>
  <dcterms:modified xsi:type="dcterms:W3CDTF">2023-08-20T18:22:00Z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