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2B8F" w14:textId="77777777" w:rsidR="00802EB9" w:rsidRPr="007D4781" w:rsidRDefault="005A5B23" w:rsidP="002C3F29">
      <w:pPr>
        <w:pStyle w:val="Heading1"/>
      </w:pPr>
      <w:r w:rsidRPr="007731E8">
        <w:t>1570.4</w:t>
      </w:r>
      <w:r>
        <w:t>1</w:t>
      </w:r>
      <w:r w:rsidRPr="007731E8">
        <w:t>0</w:t>
      </w:r>
      <w:r w:rsidRPr="007731E8">
        <w:tab/>
      </w:r>
      <w:r w:rsidRPr="007D4781">
        <w:t>EXEMPT PROFESSIONAL LEAVE</w:t>
      </w:r>
      <w:r>
        <w:t xml:space="preserve"> PROCEDURE</w:t>
      </w:r>
    </w:p>
    <w:p w14:paraId="3B66EAFC" w14:textId="77777777" w:rsidR="00802EB9" w:rsidRDefault="005A5B23" w:rsidP="002C3F29">
      <w:pPr>
        <w:pStyle w:val="Heading2"/>
      </w:pPr>
      <w:r>
        <w:t>A.</w:t>
      </w:r>
      <w:r>
        <w:tab/>
        <w:t>PROFESSIONAL LEAVE</w:t>
      </w:r>
    </w:p>
    <w:p w14:paraId="76519DCF" w14:textId="77777777" w:rsidR="00802EB9" w:rsidRDefault="00802EB9" w:rsidP="002C3F29">
      <w:pPr>
        <w:pStyle w:val="BodyText025"/>
      </w:pPr>
      <w:r>
        <w:t>In conformity with appropriate Washington law, and subject to the availability of state-appropriated funds, the college will offer professional leave opportunities for exempt staff on a biennial basis.</w:t>
      </w:r>
      <w:r w:rsidR="003B51EE">
        <w:t xml:space="preserve"> </w:t>
      </w:r>
      <w:r>
        <w:t xml:space="preserve">Through the procedure of application, evaluation, and approval, full-time exempt personnel may be granted professional leave status for a designated </w:t>
      </w:r>
      <w:proofErr w:type="gramStart"/>
      <w:r>
        <w:t>period of time</w:t>
      </w:r>
      <w:proofErr w:type="gramEnd"/>
      <w:r>
        <w:t>, not to exceed one year.</w:t>
      </w:r>
    </w:p>
    <w:p w14:paraId="34200D5B" w14:textId="77777777" w:rsidR="00802EB9" w:rsidRDefault="00802EB9" w:rsidP="002C3F29">
      <w:pPr>
        <w:pStyle w:val="Heading3"/>
      </w:pPr>
      <w:r>
        <w:t>1.</w:t>
      </w:r>
      <w:r>
        <w:tab/>
        <w:t xml:space="preserve">Exempt personnel may be eligible for professional leave after having served as a full-time employee for </w:t>
      </w:r>
      <w:r w:rsidR="0021469D">
        <w:t xml:space="preserve">six consecutive </w:t>
      </w:r>
      <w:r>
        <w:t>years.</w:t>
      </w:r>
    </w:p>
    <w:p w14:paraId="4CAD18FA" w14:textId="77777777" w:rsidR="00802EB9" w:rsidRDefault="00802EB9" w:rsidP="002C3F29">
      <w:pPr>
        <w:pStyle w:val="Heading3"/>
      </w:pPr>
      <w:r>
        <w:t>2.</w:t>
      </w:r>
      <w:r>
        <w:tab/>
        <w:t xml:space="preserve">Unless otherwise agreed to in writing, the </w:t>
      </w:r>
      <w:r w:rsidR="006160B5">
        <w:t>employee</w:t>
      </w:r>
      <w:r>
        <w:t xml:space="preserve"> returning from professional leave will be allowed to return to the assignment for which he/she is qualified by education and experience; the </w:t>
      </w:r>
      <w:r w:rsidR="006160B5">
        <w:t>employee</w:t>
      </w:r>
      <w:r>
        <w:t xml:space="preserve"> may accept a different </w:t>
      </w:r>
      <w:r w:rsidR="006160B5">
        <w:t>exempt</w:t>
      </w:r>
      <w:r>
        <w:t xml:space="preserve"> position.</w:t>
      </w:r>
    </w:p>
    <w:p w14:paraId="27A3FC26" w14:textId="77777777" w:rsidR="00802EB9" w:rsidRDefault="00802EB9" w:rsidP="002C3F29">
      <w:pPr>
        <w:pStyle w:val="Heading3"/>
      </w:pPr>
      <w:r>
        <w:t>3.</w:t>
      </w:r>
      <w:r>
        <w:tab/>
        <w:t>The</w:t>
      </w:r>
      <w:r w:rsidR="006160B5">
        <w:t xml:space="preserve"> minimum period an employee</w:t>
      </w:r>
      <w:r>
        <w:t xml:space="preserve"> must serve after completion of professional leave </w:t>
      </w:r>
      <w:r w:rsidR="00BE6C6D">
        <w:t>is</w:t>
      </w:r>
      <w:r>
        <w:t xml:space="preserve"> two years.</w:t>
      </w:r>
    </w:p>
    <w:p w14:paraId="590D02AA" w14:textId="77777777" w:rsidR="00802EB9" w:rsidRDefault="006160B5" w:rsidP="002C3F29">
      <w:pPr>
        <w:pStyle w:val="Heading3"/>
      </w:pPr>
      <w:r>
        <w:t>4.</w:t>
      </w:r>
      <w:r>
        <w:tab/>
        <w:t xml:space="preserve">Should the employee </w:t>
      </w:r>
      <w:r w:rsidR="00802EB9">
        <w:t xml:space="preserve">leave the college's employment before completing the provisions stipulated in this </w:t>
      </w:r>
      <w:r w:rsidR="00C04096">
        <w:t>procedure</w:t>
      </w:r>
      <w:r w:rsidR="00802EB9">
        <w:t xml:space="preserve">, he/she will immediately repay on a pro rata basis the </w:t>
      </w:r>
      <w:r w:rsidR="009E01A2">
        <w:t>remuneration (salary)</w:t>
      </w:r>
      <w:r w:rsidR="00802EB9">
        <w:t xml:space="preserve"> paid </w:t>
      </w:r>
      <w:r w:rsidR="00EC4AFF">
        <w:t xml:space="preserve">by the college </w:t>
      </w:r>
      <w:r w:rsidR="00802EB9">
        <w:t>while on professional leave status.</w:t>
      </w:r>
    </w:p>
    <w:p w14:paraId="632C0AD3" w14:textId="77777777" w:rsidR="00802EB9" w:rsidRDefault="006160B5" w:rsidP="002C3F29">
      <w:pPr>
        <w:pStyle w:val="Heading3"/>
      </w:pPr>
      <w:r>
        <w:t>5.</w:t>
      </w:r>
      <w:r>
        <w:tab/>
        <w:t>An employee</w:t>
      </w:r>
      <w:r w:rsidR="00802EB9">
        <w:t xml:space="preserve"> on professional leave </w:t>
      </w:r>
      <w:r w:rsidR="00F46340">
        <w:t>will</w:t>
      </w:r>
      <w:r w:rsidR="00802EB9">
        <w:t xml:space="preserve"> be considered an active college employee and </w:t>
      </w:r>
      <w:r w:rsidR="00F46340">
        <w:t>will</w:t>
      </w:r>
      <w:r w:rsidR="00802EB9">
        <w:t xml:space="preserve"> </w:t>
      </w:r>
      <w:r w:rsidR="009E01A2">
        <w:t>remain on</w:t>
      </w:r>
      <w:r w:rsidR="00802EB9">
        <w:t xml:space="preserve"> medical and retirement benefits.</w:t>
      </w:r>
    </w:p>
    <w:p w14:paraId="2BA81D0A" w14:textId="77777777" w:rsidR="00802EB9" w:rsidRDefault="00802EB9" w:rsidP="002C3F29">
      <w:pPr>
        <w:pStyle w:val="Heading3"/>
      </w:pPr>
      <w:r>
        <w:t>6.</w:t>
      </w:r>
      <w:r>
        <w:tab/>
        <w:t xml:space="preserve">For the entire period of the professional leave, compensation </w:t>
      </w:r>
      <w:r w:rsidR="00220A10">
        <w:t xml:space="preserve">from the college </w:t>
      </w:r>
      <w:r w:rsidR="00186C59">
        <w:t>will be no more than 90</w:t>
      </w:r>
      <w:r w:rsidR="00220A10" w:rsidRPr="00220A10">
        <w:t xml:space="preserve"> percent of the employee’s contract salary.</w:t>
      </w:r>
      <w:r w:rsidR="003B51EE">
        <w:t xml:space="preserve"> </w:t>
      </w:r>
      <w:r w:rsidR="00220A10" w:rsidRPr="00220A10">
        <w:t>Total dollars paid to a leave participant and the replacement shall not exceed 150 percent of the total amount of dollars that would have been spent if the participant had not been on leave.</w:t>
      </w:r>
    </w:p>
    <w:p w14:paraId="6B6EE10C" w14:textId="77777777" w:rsidR="00802EB9" w:rsidRDefault="00802EB9" w:rsidP="002C3F29">
      <w:pPr>
        <w:pStyle w:val="Heading3"/>
      </w:pPr>
      <w:r>
        <w:t>7.</w:t>
      </w:r>
      <w:r>
        <w:tab/>
        <w:t xml:space="preserve">In the event the </w:t>
      </w:r>
      <w:r w:rsidR="006160B5">
        <w:t>employee</w:t>
      </w:r>
      <w:r>
        <w:t xml:space="preserve"> qualifies for and receives a grant or stipend from sources other than the college, the amount paid by the college and the total of the grant or stipend may not exceed a combined total of 100% of the </w:t>
      </w:r>
      <w:r w:rsidR="006160B5">
        <w:t>employee</w:t>
      </w:r>
      <w:r>
        <w:t>'s regular salary.</w:t>
      </w:r>
      <w:r w:rsidR="003B51EE">
        <w:t xml:space="preserve"> </w:t>
      </w:r>
      <w:r>
        <w:t>If the total exceeds the 100% figure, the college salary contribution will be reduced to meet the 100% maximum.</w:t>
      </w:r>
    </w:p>
    <w:p w14:paraId="17BC7017" w14:textId="77777777" w:rsidR="00D569F0" w:rsidRDefault="00D569F0" w:rsidP="002C3F29">
      <w:pPr>
        <w:pStyle w:val="Heading3"/>
      </w:pPr>
      <w:r>
        <w:t>8.</w:t>
      </w:r>
      <w:r>
        <w:tab/>
        <w:t xml:space="preserve">Vacation and sick leave will not accrue during the </w:t>
      </w:r>
      <w:proofErr w:type="gramStart"/>
      <w:r>
        <w:t>period of time</w:t>
      </w:r>
      <w:proofErr w:type="gramEnd"/>
      <w:r>
        <w:t xml:space="preserve"> the employee is on professional leave.</w:t>
      </w:r>
    </w:p>
    <w:p w14:paraId="3324D708" w14:textId="77777777" w:rsidR="00802EB9" w:rsidRDefault="00D569F0" w:rsidP="002C3F29">
      <w:pPr>
        <w:pStyle w:val="Heading3"/>
      </w:pPr>
      <w:r>
        <w:t>9</w:t>
      </w:r>
      <w:r w:rsidR="00802EB9">
        <w:t>.</w:t>
      </w:r>
      <w:r w:rsidR="00802EB9">
        <w:tab/>
        <w:t>Professional leave may be requested by one or a combination of exempt staff for up to a maximum of 12 months</w:t>
      </w:r>
      <w:r w:rsidR="00541598">
        <w:t xml:space="preserve"> each biennium</w:t>
      </w:r>
      <w:r w:rsidR="00802EB9">
        <w:t>.</w:t>
      </w:r>
    </w:p>
    <w:p w14:paraId="275A1BFC" w14:textId="77777777" w:rsidR="00802EB9" w:rsidRDefault="008C12D6" w:rsidP="002C3F29">
      <w:pPr>
        <w:pStyle w:val="Heading3"/>
      </w:pPr>
      <w:r>
        <w:t>10.</w:t>
      </w:r>
      <w:r>
        <w:tab/>
      </w:r>
      <w:r w:rsidR="00802EB9">
        <w:t xml:space="preserve">Approval of professional leave is contingent upon the college's ability to provide a qualified </w:t>
      </w:r>
      <w:r w:rsidR="006160B5">
        <w:t>replacement for the employee</w:t>
      </w:r>
      <w:r w:rsidR="00802EB9">
        <w:t xml:space="preserve"> submitting the request for leave.</w:t>
      </w:r>
    </w:p>
    <w:p w14:paraId="46F0505D" w14:textId="77777777" w:rsidR="00802EB9" w:rsidRDefault="008C12D6" w:rsidP="002C3F29">
      <w:pPr>
        <w:pStyle w:val="Heading3"/>
      </w:pPr>
      <w:r>
        <w:t>11.</w:t>
      </w:r>
      <w:r>
        <w:tab/>
      </w:r>
      <w:r w:rsidR="00802EB9">
        <w:t>Professional leave specific procedures are as follows:</w:t>
      </w:r>
    </w:p>
    <w:p w14:paraId="0C47D402" w14:textId="77777777" w:rsidR="00802EB9" w:rsidRDefault="00802EB9" w:rsidP="002C3F29">
      <w:pPr>
        <w:pStyle w:val="Heading4"/>
      </w:pPr>
      <w:r>
        <w:t>a.</w:t>
      </w:r>
      <w:r>
        <w:tab/>
        <w:t xml:space="preserve">A qualified applicant must submit to the president </w:t>
      </w:r>
      <w:r w:rsidR="00EC4AFF">
        <w:t>120</w:t>
      </w:r>
      <w:r>
        <w:t xml:space="preserve"> days prior to the proposed date of leave a written plan detailing the goals, objectives, and activities of the proposed leave.</w:t>
      </w:r>
    </w:p>
    <w:p w14:paraId="3A9D0A7F" w14:textId="77777777" w:rsidR="00802EB9" w:rsidRDefault="00802EB9" w:rsidP="002C3F29">
      <w:pPr>
        <w:pStyle w:val="Heading4"/>
      </w:pPr>
      <w:r>
        <w:t>b.</w:t>
      </w:r>
      <w:r>
        <w:tab/>
      </w:r>
      <w:r w:rsidR="001C3E6B">
        <w:t>The president will review with the board of trustees all qualified applications for professional leave.</w:t>
      </w:r>
      <w:r w:rsidR="003B51EE">
        <w:t xml:space="preserve"> </w:t>
      </w:r>
      <w:r w:rsidR="001C3E6B">
        <w:t>Final approval rests with the board of trustees.</w:t>
      </w:r>
    </w:p>
    <w:p w14:paraId="35A885B3" w14:textId="77777777" w:rsidR="001C3E6B" w:rsidRDefault="00802EB9" w:rsidP="002C3F29">
      <w:pPr>
        <w:pStyle w:val="Heading4"/>
      </w:pPr>
      <w:r>
        <w:t>c.</w:t>
      </w:r>
      <w:r>
        <w:tab/>
      </w:r>
      <w:r w:rsidR="001C3E6B">
        <w:t>The human resources office prepares a special professional leave contract which must be signed by the successful applicant prior to the start of the leave.</w:t>
      </w:r>
    </w:p>
    <w:p w14:paraId="1D1DFC85" w14:textId="77777777" w:rsidR="006160B5" w:rsidRDefault="006160B5" w:rsidP="002C3F29">
      <w:pPr>
        <w:pStyle w:val="BodyTextItalicBOT"/>
      </w:pPr>
      <w:r>
        <w:t xml:space="preserve">Moved from </w:t>
      </w:r>
      <w:r w:rsidR="0021469D">
        <w:t>exempt leave procedure and revised</w:t>
      </w:r>
    </w:p>
    <w:p w14:paraId="226D41A6" w14:textId="77777777" w:rsidR="006160B5" w:rsidRDefault="006160B5" w:rsidP="002C3F29">
      <w:pPr>
        <w:pStyle w:val="BodyTextItalicBOT"/>
      </w:pPr>
      <w:r>
        <w:t>Move and revisions approved by t</w:t>
      </w:r>
      <w:r w:rsidR="001C3E6B">
        <w:t>he president’s cabinet: 7/10/12</w:t>
      </w:r>
    </w:p>
    <w:p w14:paraId="40B4FD49" w14:textId="3566A735" w:rsidR="009B6113" w:rsidRPr="009B6113" w:rsidRDefault="009B6113" w:rsidP="009B6113">
      <w:pPr>
        <w:pStyle w:val="BodyTextItalicBOT"/>
      </w:pPr>
      <w:r>
        <w:lastRenderedPageBreak/>
        <w:t xml:space="preserve">Last reviewed: </w:t>
      </w:r>
      <w:r w:rsidR="00E56F18">
        <w:t>5/20/23</w:t>
      </w:r>
    </w:p>
    <w:p w14:paraId="7A65BE4B" w14:textId="77777777" w:rsidR="002C3F29" w:rsidRDefault="002C3F29" w:rsidP="002C3F29">
      <w:pPr>
        <w:pStyle w:val="BodyTextPolicyContact"/>
      </w:pPr>
      <w:r>
        <w:t>Procedure contact: Human Resources</w:t>
      </w:r>
    </w:p>
    <w:p w14:paraId="2C424F37" w14:textId="77777777" w:rsidR="002C3F29" w:rsidRDefault="002C3F29" w:rsidP="002C3F29">
      <w:pPr>
        <w:pStyle w:val="RelatedPP"/>
      </w:pPr>
      <w:r>
        <w:t>Related policies and procedures</w:t>
      </w:r>
    </w:p>
    <w:p w14:paraId="06E5B026" w14:textId="77777777" w:rsidR="002C3F29" w:rsidRPr="002C3F29" w:rsidRDefault="002C3F29" w:rsidP="002C3F29">
      <w:pPr>
        <w:pStyle w:val="000000RelatedPolicies"/>
      </w:pPr>
      <w:r>
        <w:tab/>
        <w:t>570.410</w:t>
      </w:r>
      <w:r>
        <w:tab/>
      </w:r>
      <w:hyperlink r:id="rId10" w:history="1">
        <w:r w:rsidRPr="003B51EE">
          <w:rPr>
            <w:rStyle w:val="Hyperlink"/>
          </w:rPr>
          <w:t>Exempt Professional Leave Policy</w:t>
        </w:r>
      </w:hyperlink>
    </w:p>
    <w:sectPr w:rsidR="002C3F29" w:rsidRPr="002C3F29" w:rsidSect="002F3A93">
      <w:headerReference w:type="default" r:id="rId11"/>
      <w:pgSz w:w="12240" w:h="15840" w:code="1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E6CC" w14:textId="77777777" w:rsidR="00425A68" w:rsidRDefault="00425A68">
      <w:r>
        <w:separator/>
      </w:r>
    </w:p>
  </w:endnote>
  <w:endnote w:type="continuationSeparator" w:id="0">
    <w:p w14:paraId="6BDD6FD7" w14:textId="77777777" w:rsidR="00425A68" w:rsidRDefault="0042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5A00" w14:textId="77777777" w:rsidR="00425A68" w:rsidRDefault="00425A68">
      <w:r>
        <w:separator/>
      </w:r>
    </w:p>
  </w:footnote>
  <w:footnote w:type="continuationSeparator" w:id="0">
    <w:p w14:paraId="6C14B984" w14:textId="77777777" w:rsidR="00425A68" w:rsidRDefault="0042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4595" w14:textId="77777777" w:rsidR="00541598" w:rsidRDefault="00541598">
    <w:pPr>
      <w:tabs>
        <w:tab w:val="right" w:pos="9270"/>
      </w:tabs>
      <w:rPr>
        <w:rFonts w:eastAsia="MS Mincho"/>
      </w:rPr>
    </w:pPr>
    <w:r>
      <w:rPr>
        <w:rFonts w:eastAsia="MS Mincho"/>
      </w:rPr>
      <w:t xml:space="preserve">Wenatchee </w:t>
    </w:r>
    <w:smartTag w:uri="urn:schemas-microsoft-com:office:smarttags" w:element="PlaceType">
      <w:r>
        <w:rPr>
          <w:rFonts w:eastAsia="MS Mincho"/>
        </w:rPr>
        <w:t>Valley</w:t>
      </w:r>
    </w:smartTag>
    <w:r>
      <w:rPr>
        <w:rFonts w:eastAsia="MS Mincho"/>
      </w:rPr>
      <w:t xml:space="preserve"> </w:t>
    </w:r>
    <w:smartTag w:uri="urn:schemas-microsoft-com:office:smarttags" w:element="PlaceType">
      <w:r>
        <w:rPr>
          <w:rFonts w:eastAsia="MS Mincho"/>
        </w:rPr>
        <w:t>College</w:t>
      </w:r>
    </w:smartTag>
    <w:r>
      <w:rPr>
        <w:rFonts w:eastAsia="MS Mincho"/>
      </w:rPr>
      <w:tab/>
      <w:t>1500.000 HUMAN RESOURCES</w:t>
    </w:r>
    <w:r>
      <w:rPr>
        <w:rFonts w:eastAsia="MS Mincho"/>
      </w:rPr>
      <w:tab/>
    </w:r>
  </w:p>
  <w:p w14:paraId="2A0A3501" w14:textId="77777777" w:rsidR="00541598" w:rsidRDefault="00541598">
    <w:r>
      <w:rPr>
        <w:rFonts w:eastAsia="MS Mincho"/>
      </w:rPr>
      <w:t>COLLEGE OPERATIONAL P</w:t>
    </w:r>
    <w:r w:rsidR="00B359D4">
      <w:rPr>
        <w:rFonts w:eastAsia="MS Mincho"/>
      </w:rPr>
      <w:t>ROCEDURE</w:t>
    </w:r>
  </w:p>
  <w:p w14:paraId="64A032F7" w14:textId="77777777" w:rsidR="00541598" w:rsidRDefault="005415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2687"/>
    <w:multiLevelType w:val="singleLevel"/>
    <w:tmpl w:val="71E4BF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2" w15:restartNumberingAfterBreak="0">
    <w:nsid w:val="25486DD5"/>
    <w:multiLevelType w:val="singleLevel"/>
    <w:tmpl w:val="BA1688C8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8725AC6"/>
    <w:multiLevelType w:val="singleLevel"/>
    <w:tmpl w:val="6E0C3DDA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2C7011F8"/>
    <w:multiLevelType w:val="singleLevel"/>
    <w:tmpl w:val="71E4BF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5" w15:restartNumberingAfterBreak="0">
    <w:nsid w:val="301842E1"/>
    <w:multiLevelType w:val="singleLevel"/>
    <w:tmpl w:val="08E21B72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 w15:restartNumberingAfterBreak="0">
    <w:nsid w:val="32EB101B"/>
    <w:multiLevelType w:val="singleLevel"/>
    <w:tmpl w:val="4344DC5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7" w15:restartNumberingAfterBreak="0">
    <w:nsid w:val="38207475"/>
    <w:multiLevelType w:val="singleLevel"/>
    <w:tmpl w:val="4BAED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95122F2"/>
    <w:multiLevelType w:val="singleLevel"/>
    <w:tmpl w:val="71E4BFF2"/>
    <w:lvl w:ilvl="0">
      <w:start w:val="10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9" w15:restartNumberingAfterBreak="0">
    <w:nsid w:val="39BD465C"/>
    <w:multiLevelType w:val="singleLevel"/>
    <w:tmpl w:val="71E4BFF2"/>
    <w:lvl w:ilvl="0">
      <w:start w:val="6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0" w15:restartNumberingAfterBreak="0">
    <w:nsid w:val="3E9520E2"/>
    <w:multiLevelType w:val="singleLevel"/>
    <w:tmpl w:val="71E4BFF2"/>
    <w:lvl w:ilvl="0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473C1A9E"/>
    <w:multiLevelType w:val="singleLevel"/>
    <w:tmpl w:val="91E8169A"/>
    <w:lvl w:ilvl="0">
      <w:start w:val="5"/>
      <w:numFmt w:val="decimal"/>
      <w:lvlText w:val="%1."/>
      <w:lvlJc w:val="left"/>
      <w:pPr>
        <w:tabs>
          <w:tab w:val="num" w:pos="1905"/>
        </w:tabs>
        <w:ind w:left="1905" w:hanging="480"/>
      </w:pPr>
      <w:rPr>
        <w:rFonts w:hint="default"/>
      </w:rPr>
    </w:lvl>
  </w:abstractNum>
  <w:abstractNum w:abstractNumId="12" w15:restartNumberingAfterBreak="0">
    <w:nsid w:val="6B0C6ACE"/>
    <w:multiLevelType w:val="singleLevel"/>
    <w:tmpl w:val="71E4BF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num w:numId="1" w16cid:durableId="77750285">
    <w:abstractNumId w:val="1"/>
  </w:num>
  <w:num w:numId="2" w16cid:durableId="2045210858">
    <w:abstractNumId w:val="5"/>
  </w:num>
  <w:num w:numId="3" w16cid:durableId="1111051720">
    <w:abstractNumId w:val="11"/>
  </w:num>
  <w:num w:numId="4" w16cid:durableId="1398822494">
    <w:abstractNumId w:val="3"/>
  </w:num>
  <w:num w:numId="5" w16cid:durableId="1684823953">
    <w:abstractNumId w:val="6"/>
  </w:num>
  <w:num w:numId="6" w16cid:durableId="672102378">
    <w:abstractNumId w:val="2"/>
  </w:num>
  <w:num w:numId="7" w16cid:durableId="1001279113">
    <w:abstractNumId w:val="9"/>
  </w:num>
  <w:num w:numId="8" w16cid:durableId="1797987474">
    <w:abstractNumId w:val="12"/>
  </w:num>
  <w:num w:numId="9" w16cid:durableId="693309939">
    <w:abstractNumId w:val="10"/>
  </w:num>
  <w:num w:numId="10" w16cid:durableId="1640918394">
    <w:abstractNumId w:val="4"/>
  </w:num>
  <w:num w:numId="11" w16cid:durableId="1027295445">
    <w:abstractNumId w:val="0"/>
  </w:num>
  <w:num w:numId="12" w16cid:durableId="144247203">
    <w:abstractNumId w:val="8"/>
  </w:num>
  <w:num w:numId="13" w16cid:durableId="2117945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11"/>
    <w:rsid w:val="00012146"/>
    <w:rsid w:val="00036566"/>
    <w:rsid w:val="00057AF2"/>
    <w:rsid w:val="001010F7"/>
    <w:rsid w:val="00132C11"/>
    <w:rsid w:val="00186C59"/>
    <w:rsid w:val="001C3E6B"/>
    <w:rsid w:val="0021469D"/>
    <w:rsid w:val="00220A10"/>
    <w:rsid w:val="00267C29"/>
    <w:rsid w:val="002B0AEA"/>
    <w:rsid w:val="002C3F29"/>
    <w:rsid w:val="002F2030"/>
    <w:rsid w:val="002F3A93"/>
    <w:rsid w:val="00314AA6"/>
    <w:rsid w:val="003314E4"/>
    <w:rsid w:val="00351CC1"/>
    <w:rsid w:val="00397912"/>
    <w:rsid w:val="003A4751"/>
    <w:rsid w:val="003B51EE"/>
    <w:rsid w:val="003F4D93"/>
    <w:rsid w:val="00414DC3"/>
    <w:rsid w:val="004210B9"/>
    <w:rsid w:val="00425A68"/>
    <w:rsid w:val="00427F01"/>
    <w:rsid w:val="004440E4"/>
    <w:rsid w:val="004E2566"/>
    <w:rsid w:val="00541598"/>
    <w:rsid w:val="005A5B23"/>
    <w:rsid w:val="005B1237"/>
    <w:rsid w:val="006160B5"/>
    <w:rsid w:val="0067691E"/>
    <w:rsid w:val="00696372"/>
    <w:rsid w:val="007311BF"/>
    <w:rsid w:val="007376E5"/>
    <w:rsid w:val="007578A9"/>
    <w:rsid w:val="007731E8"/>
    <w:rsid w:val="007B49F0"/>
    <w:rsid w:val="007C272A"/>
    <w:rsid w:val="007D4781"/>
    <w:rsid w:val="00802EB9"/>
    <w:rsid w:val="008C12D6"/>
    <w:rsid w:val="008D1014"/>
    <w:rsid w:val="008F3775"/>
    <w:rsid w:val="00946C1B"/>
    <w:rsid w:val="009705E4"/>
    <w:rsid w:val="009B6113"/>
    <w:rsid w:val="009E01A2"/>
    <w:rsid w:val="00A4396F"/>
    <w:rsid w:val="00A81D04"/>
    <w:rsid w:val="00A94162"/>
    <w:rsid w:val="00B359D4"/>
    <w:rsid w:val="00B53E56"/>
    <w:rsid w:val="00B63F8B"/>
    <w:rsid w:val="00BE6C6D"/>
    <w:rsid w:val="00C04096"/>
    <w:rsid w:val="00C43194"/>
    <w:rsid w:val="00C53311"/>
    <w:rsid w:val="00C5558E"/>
    <w:rsid w:val="00CD2C94"/>
    <w:rsid w:val="00D21524"/>
    <w:rsid w:val="00D569F0"/>
    <w:rsid w:val="00DA2D1B"/>
    <w:rsid w:val="00DF19A7"/>
    <w:rsid w:val="00E56F18"/>
    <w:rsid w:val="00EC4AFF"/>
    <w:rsid w:val="00F16E0B"/>
    <w:rsid w:val="00F46340"/>
    <w:rsid w:val="00F810E1"/>
    <w:rsid w:val="00FC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4337"/>
    <o:shapelayout v:ext="edit">
      <o:idmap v:ext="edit" data="1"/>
    </o:shapelayout>
  </w:shapeDefaults>
  <w:decimalSymbol w:val="."/>
  <w:listSeparator w:val=","/>
  <w14:docId w14:val="76887DFC"/>
  <w15:docId w15:val="{0C27096F-B4D2-4D2F-B199-6E74ED78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F2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A5B23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5A5B23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2C3F29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2C3F29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C3F29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2C3F29"/>
    <w:pPr>
      <w:tabs>
        <w:tab w:val="clear" w:pos="1440"/>
        <w:tab w:val="left" w:pos="1800"/>
      </w:tabs>
      <w:ind w:left="18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C3F29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C3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C3F29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C3F29"/>
    <w:pPr>
      <w:spacing w:after="120"/>
      <w:ind w:left="1440" w:right="1440"/>
    </w:pPr>
  </w:style>
  <w:style w:type="paragraph" w:customStyle="1" w:styleId="Blockquote">
    <w:name w:val="Blockquote"/>
    <w:basedOn w:val="Normal"/>
    <w:rsid w:val="002C3F29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2C3F29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2C3F29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2C3F29"/>
    <w:rPr>
      <w:i/>
      <w:iCs/>
    </w:rPr>
  </w:style>
  <w:style w:type="paragraph" w:customStyle="1" w:styleId="BodyTextItalic">
    <w:name w:val="Body Text + Italic"/>
    <w:basedOn w:val="BodyText"/>
    <w:rsid w:val="002C3F29"/>
    <w:rPr>
      <w:i/>
      <w:iCs/>
    </w:rPr>
  </w:style>
  <w:style w:type="paragraph" w:customStyle="1" w:styleId="BodyTextItalicBOT">
    <w:name w:val="Body Text + Italic BOT"/>
    <w:next w:val="BodyText"/>
    <w:qFormat/>
    <w:rsid w:val="002C3F29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2C3F29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2C3F29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C3F29"/>
    <w:pPr>
      <w:ind w:left="1080"/>
    </w:pPr>
  </w:style>
  <w:style w:type="paragraph" w:customStyle="1" w:styleId="BodyTextPolicyContact">
    <w:name w:val="Body Text Policy Contact"/>
    <w:basedOn w:val="Normal"/>
    <w:qFormat/>
    <w:rsid w:val="002C3F29"/>
    <w:pPr>
      <w:spacing w:before="120"/>
    </w:pPr>
  </w:style>
  <w:style w:type="character" w:styleId="CommentReference">
    <w:name w:val="annotation reference"/>
    <w:rsid w:val="002C3F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C3F29"/>
  </w:style>
  <w:style w:type="character" w:customStyle="1" w:styleId="CommentTextChar">
    <w:name w:val="Comment Text Char"/>
    <w:link w:val="CommentText"/>
    <w:semiHidden/>
    <w:rsid w:val="002C3F29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C3F29"/>
    <w:rPr>
      <w:b/>
      <w:bCs/>
    </w:rPr>
  </w:style>
  <w:style w:type="character" w:customStyle="1" w:styleId="CommentSubjectChar">
    <w:name w:val="Comment Subject Char"/>
    <w:link w:val="CommentSubject1"/>
    <w:rsid w:val="002C3F29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2C3F29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2C3F29"/>
    <w:rPr>
      <w:color w:val="800080"/>
      <w:u w:val="single"/>
    </w:rPr>
  </w:style>
  <w:style w:type="paragraph" w:styleId="Footer">
    <w:name w:val="footer"/>
    <w:basedOn w:val="Normal"/>
    <w:link w:val="FooterChar"/>
    <w:rsid w:val="002C3F2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C3F29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2C3F29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2C3F29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2C3F29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5A5B23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5A5B23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2C3F29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2C3F29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2C3F2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2C3F29"/>
    <w:rPr>
      <w:rFonts w:ascii="Arial" w:hAnsi="Arial"/>
      <w:sz w:val="22"/>
    </w:rPr>
  </w:style>
  <w:style w:type="paragraph" w:styleId="HTMLPreformatted">
    <w:name w:val="HTML Preformatted"/>
    <w:basedOn w:val="Normal"/>
    <w:link w:val="HTMLPreformattedChar"/>
    <w:rsid w:val="002C3F2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C3F29"/>
    <w:rPr>
      <w:rFonts w:ascii="Courier New" w:hAnsi="Courier New" w:cs="Courier New"/>
      <w:sz w:val="22"/>
    </w:rPr>
  </w:style>
  <w:style w:type="character" w:styleId="Hyperlink">
    <w:name w:val="Hyperlink"/>
    <w:rsid w:val="002C3F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3F29"/>
    <w:pPr>
      <w:ind w:left="720"/>
    </w:pPr>
  </w:style>
  <w:style w:type="paragraph" w:styleId="NormalWeb">
    <w:name w:val="Normal (Web)"/>
    <w:basedOn w:val="Normal"/>
    <w:autoRedefine/>
    <w:rsid w:val="002C3F29"/>
  </w:style>
  <w:style w:type="paragraph" w:styleId="PlainText">
    <w:name w:val="Plain Text"/>
    <w:basedOn w:val="Normal"/>
    <w:link w:val="PlainTextChar"/>
    <w:rsid w:val="002C3F29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C3F29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2C3F29"/>
    <w:pPr>
      <w:spacing w:before="120" w:after="120"/>
    </w:pPr>
    <w:rPr>
      <w:b/>
    </w:rPr>
  </w:style>
  <w:style w:type="character" w:styleId="Strong">
    <w:name w:val="Strong"/>
    <w:qFormat/>
    <w:rsid w:val="002C3F29"/>
    <w:rPr>
      <w:b/>
      <w:bCs/>
    </w:rPr>
  </w:style>
  <w:style w:type="paragraph" w:styleId="Title">
    <w:name w:val="Title"/>
    <w:basedOn w:val="Normal"/>
    <w:link w:val="TitleChar"/>
    <w:qFormat/>
    <w:rsid w:val="002C3F2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C3F29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wvc.edu/humanresources/policies-procedures/500-human-resources/570.410-exempt-professional-leav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B5781-CFBD-42ED-A126-39E14ADAD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B518E-6004-4C2B-9FA7-676C2FDE6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B17D0-D109-4F55-95D6-3128438E5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10</cp:revision>
  <cp:lastPrinted>2023-05-20T19:12:00Z</cp:lastPrinted>
  <dcterms:created xsi:type="dcterms:W3CDTF">2012-06-22T23:08:00Z</dcterms:created>
  <dcterms:modified xsi:type="dcterms:W3CDTF">2023-05-20T19:12:00Z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