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7179" w14:textId="77777777" w:rsidR="008934B1" w:rsidRDefault="008934B1" w:rsidP="001569AE">
      <w:pPr>
        <w:pStyle w:val="Heading1"/>
      </w:pPr>
      <w:r>
        <w:t>600.128</w:t>
      </w:r>
      <w:r>
        <w:tab/>
      </w:r>
      <w:r w:rsidRPr="008934B1">
        <w:t>REFUND</w:t>
      </w:r>
      <w:r w:rsidR="00167DCB">
        <w:t xml:space="preserve"> POLICY</w:t>
      </w:r>
    </w:p>
    <w:p w14:paraId="538F0439" w14:textId="77777777" w:rsidR="00A80610" w:rsidRDefault="00A80610" w:rsidP="001569AE">
      <w:pPr>
        <w:pStyle w:val="BodyText"/>
      </w:pPr>
      <w:r>
        <w:t>The Wenatchee Valley College Board of Trustees authorizes cashiers to refund fees when a student withdraws from college or course(s) and to determine a pro-rated refund for courses with varying start and end dates.</w:t>
      </w:r>
      <w:r w:rsidR="001569AE">
        <w:t xml:space="preserve"> </w:t>
      </w:r>
      <w:r>
        <w:t>The chief academic officer and chief financial officer have the authority to make judgments regarding refunds in extraordinary circumstances.</w:t>
      </w:r>
      <w:r w:rsidR="001569AE">
        <w:t xml:space="preserve"> </w:t>
      </w:r>
      <w:r>
        <w:t>A student who is requested to withdraw for disciplinary reasons will not be eligible for a refund.</w:t>
      </w:r>
      <w:r w:rsidR="001569AE">
        <w:t xml:space="preserve"> </w:t>
      </w:r>
      <w:r>
        <w:t>Refund provisions for students receiving Title IV federal aid will comply with Title IV requirements.</w:t>
      </w:r>
    </w:p>
    <w:p w14:paraId="30A1F3AC" w14:textId="77777777" w:rsidR="00A80610" w:rsidRDefault="00A80610" w:rsidP="001569AE">
      <w:pPr>
        <w:pStyle w:val="BodyText"/>
      </w:pPr>
      <w:r>
        <w:t>Refunds are granted only when a student withdraws.</w:t>
      </w:r>
      <w:r w:rsidR="001569AE">
        <w:t xml:space="preserve"> </w:t>
      </w:r>
      <w:r>
        <w:t>Students are responsible for dropping classes they are not attending.</w:t>
      </w:r>
    </w:p>
    <w:p w14:paraId="500DD5B7" w14:textId="77777777" w:rsidR="008934B1" w:rsidRDefault="008934B1" w:rsidP="001569AE">
      <w:pPr>
        <w:pStyle w:val="Heading2"/>
      </w:pPr>
      <w:r>
        <w:t>A.</w:t>
      </w:r>
      <w:r>
        <w:tab/>
        <w:t xml:space="preserve">FALL, WINTER </w:t>
      </w:r>
      <w:r w:rsidR="001569AE">
        <w:t xml:space="preserve">AND </w:t>
      </w:r>
      <w:r>
        <w:t>SPRING QUARTERS</w:t>
      </w:r>
    </w:p>
    <w:p w14:paraId="3DCCAB37" w14:textId="77777777" w:rsidR="008934B1" w:rsidRDefault="008934B1" w:rsidP="001569AE">
      <w:pPr>
        <w:pStyle w:val="BodyText025"/>
      </w:pPr>
      <w:r>
        <w:t>Tuition and related fees for fall, winter, and spring quarters are refunded upon withdrawal from college or a course or courses as follows:</w:t>
      </w:r>
    </w:p>
    <w:p w14:paraId="6FD13FBC" w14:textId="77777777" w:rsidR="008934B1" w:rsidRDefault="008934B1" w:rsidP="001569AE">
      <w:pPr>
        <w:pStyle w:val="Heading3"/>
      </w:pPr>
      <w:r>
        <w:t>1.</w:t>
      </w:r>
      <w:r>
        <w:tab/>
        <w:t>Tuition and fees will be refunded at 100% through the fifth instructional day of the quarter.</w:t>
      </w:r>
    </w:p>
    <w:p w14:paraId="4986F892" w14:textId="77777777" w:rsidR="008934B1" w:rsidRDefault="008934B1" w:rsidP="001569AE">
      <w:pPr>
        <w:pStyle w:val="Heading3"/>
      </w:pPr>
      <w:r>
        <w:t>2.</w:t>
      </w:r>
      <w:r>
        <w:tab/>
        <w:t>Tuition and fees will be refunded at 50% from the sixth instructional day through the twentieth business day of the quarter.</w:t>
      </w:r>
    </w:p>
    <w:p w14:paraId="59FADAD2" w14:textId="77777777" w:rsidR="008934B1" w:rsidRDefault="008934B1" w:rsidP="001569AE">
      <w:pPr>
        <w:pStyle w:val="Heading3"/>
      </w:pPr>
      <w:r>
        <w:t>3.</w:t>
      </w:r>
      <w:r>
        <w:tab/>
        <w:t>Tuition and fees will not be refunded after the twentieth business day of the quarter.</w:t>
      </w:r>
    </w:p>
    <w:p w14:paraId="07A985B5" w14:textId="77777777" w:rsidR="008934B1" w:rsidRDefault="008934B1" w:rsidP="001569AE">
      <w:pPr>
        <w:pStyle w:val="Heading2"/>
      </w:pPr>
      <w:r>
        <w:t>B.</w:t>
      </w:r>
      <w:r>
        <w:tab/>
        <w:t>SUMMER QUARTER</w:t>
      </w:r>
    </w:p>
    <w:p w14:paraId="0D7B14F3" w14:textId="77777777" w:rsidR="008934B1" w:rsidRDefault="008934B1" w:rsidP="001569AE">
      <w:pPr>
        <w:pStyle w:val="BodyText025"/>
      </w:pPr>
      <w:r>
        <w:t>Tuition and related fees for summer quarter are refunded upon withdrawal from college or a course or courses as follows:</w:t>
      </w:r>
    </w:p>
    <w:p w14:paraId="45DF577D" w14:textId="77777777" w:rsidR="008934B1" w:rsidRDefault="008934B1" w:rsidP="001569AE">
      <w:pPr>
        <w:pStyle w:val="Heading3"/>
      </w:pPr>
      <w:r>
        <w:t>1.</w:t>
      </w:r>
      <w:r>
        <w:tab/>
        <w:t>Tuition and fees will be refunded at 100% through the fifth instructional day of the quarter.</w:t>
      </w:r>
    </w:p>
    <w:p w14:paraId="242C2C81" w14:textId="77777777" w:rsidR="008934B1" w:rsidRDefault="008934B1" w:rsidP="001569AE">
      <w:pPr>
        <w:pStyle w:val="Heading3"/>
      </w:pPr>
      <w:r>
        <w:t>2.</w:t>
      </w:r>
      <w:r>
        <w:tab/>
        <w:t>Tuition and fees will be refunded at 50% from the sixth instructional day through the sixteenth business day of the quarter.</w:t>
      </w:r>
    </w:p>
    <w:p w14:paraId="4DB41F63" w14:textId="77777777" w:rsidR="008934B1" w:rsidRDefault="008934B1" w:rsidP="001569AE">
      <w:pPr>
        <w:pStyle w:val="Heading3"/>
      </w:pPr>
      <w:r>
        <w:t>3.</w:t>
      </w:r>
      <w:r>
        <w:tab/>
        <w:t>Tuition and fees will not be refunded after the sixteenth business day of the quarter.</w:t>
      </w:r>
    </w:p>
    <w:p w14:paraId="12250098" w14:textId="77777777" w:rsidR="008934B1" w:rsidRDefault="008934B1" w:rsidP="001569AE">
      <w:pPr>
        <w:pStyle w:val="Heading2"/>
      </w:pPr>
      <w:r>
        <w:t>C.</w:t>
      </w:r>
      <w:r>
        <w:tab/>
        <w:t>REFUND EXCEPTION RULES</w:t>
      </w:r>
    </w:p>
    <w:p w14:paraId="309482B7" w14:textId="77777777" w:rsidR="00A80610" w:rsidRDefault="00A80610" w:rsidP="001569AE">
      <w:pPr>
        <w:pStyle w:val="BodyText025"/>
      </w:pPr>
      <w:r>
        <w:t xml:space="preserve">No checks will be processed for refunds that are less than </w:t>
      </w:r>
      <w:r w:rsidR="00EB5908">
        <w:t xml:space="preserve">or equal to </w:t>
      </w:r>
      <w:r>
        <w:t>$25. Refund balances may be applied to future quarters of attendance, refunded to credit cards, or paid out in cash, according to established procedures. Any refund balances remaining after eight quarters will be forfeited.</w:t>
      </w:r>
    </w:p>
    <w:p w14:paraId="4C67627F" w14:textId="77777777" w:rsidR="00A80610" w:rsidRDefault="00A80610" w:rsidP="001569AE">
      <w:pPr>
        <w:pStyle w:val="BodyText025"/>
      </w:pPr>
      <w:r>
        <w:t>Self-support programs may, with institutional approval, develop different refund policies for programmatic reasons.</w:t>
      </w:r>
      <w:r w:rsidR="001569AE">
        <w:t xml:space="preserve"> </w:t>
      </w:r>
      <w:r>
        <w:t>Refund policies pertaining to these programs will be described in program materials.</w:t>
      </w:r>
    </w:p>
    <w:p w14:paraId="353A8EEF" w14:textId="77777777" w:rsidR="00A80610" w:rsidRDefault="00A80610" w:rsidP="001569AE">
      <w:pPr>
        <w:pStyle w:val="BodyText025"/>
      </w:pPr>
      <w:r>
        <w:t>Students with unpaid tuition and fees may be administratively dropped from classes.</w:t>
      </w:r>
      <w:r w:rsidR="001569AE">
        <w:t xml:space="preserve"> </w:t>
      </w:r>
      <w:r>
        <w:t>Any partial payments will be forfeited.</w:t>
      </w:r>
      <w:r w:rsidR="001569AE">
        <w:t xml:space="preserve"> </w:t>
      </w:r>
      <w:r>
        <w:t>The chief financial officer has authority to make exceptions in unusual situations.</w:t>
      </w:r>
    </w:p>
    <w:p w14:paraId="228A36C6" w14:textId="77777777" w:rsidR="008934B1" w:rsidRDefault="008934B1" w:rsidP="001569AE">
      <w:pPr>
        <w:pStyle w:val="BodyTextItalicBOT"/>
      </w:pPr>
      <w:r>
        <w:t>Originally adopted by the board of trustees: 4/11/01</w:t>
      </w:r>
    </w:p>
    <w:p w14:paraId="2B641C81" w14:textId="77777777" w:rsidR="008934B1" w:rsidRDefault="008934B1" w:rsidP="001569AE">
      <w:pPr>
        <w:pStyle w:val="BodyTextItalicBOT"/>
      </w:pPr>
      <w:r>
        <w:t>Revised and approved by the president’s cabinet: 8/02</w:t>
      </w:r>
      <w:r w:rsidR="00A80610">
        <w:t>, 9/10/13</w:t>
      </w:r>
      <w:r w:rsidR="00116C64">
        <w:t xml:space="preserve">, </w:t>
      </w:r>
      <w:r w:rsidR="00485829">
        <w:t>8/16/16</w:t>
      </w:r>
    </w:p>
    <w:p w14:paraId="3AA63AC9" w14:textId="77777777" w:rsidR="0046755C" w:rsidRDefault="008934B1" w:rsidP="001569AE">
      <w:pPr>
        <w:pStyle w:val="BodyTextItalicBOT"/>
      </w:pPr>
      <w:r>
        <w:t>Adopted by the board of trustees: 11/6/02</w:t>
      </w:r>
      <w:r w:rsidR="00A80610">
        <w:t xml:space="preserve">, </w:t>
      </w:r>
      <w:r w:rsidR="00A755A1">
        <w:t>10/16/13</w:t>
      </w:r>
      <w:r w:rsidR="00116C64">
        <w:t>, 9/21/16</w:t>
      </w:r>
    </w:p>
    <w:p w14:paraId="1629F428" w14:textId="35616326" w:rsidR="009B42A9" w:rsidRPr="009B42A9" w:rsidRDefault="009B42A9" w:rsidP="009B42A9">
      <w:pPr>
        <w:pStyle w:val="BodyTextItalicBOT"/>
      </w:pPr>
      <w:r>
        <w:t xml:space="preserve">Last reviewed: </w:t>
      </w:r>
      <w:r w:rsidR="00A13C14">
        <w:t>7/19/22</w:t>
      </w:r>
    </w:p>
    <w:p w14:paraId="628872C7" w14:textId="77777777" w:rsidR="001569AE" w:rsidRDefault="001569AE" w:rsidP="001569AE">
      <w:pPr>
        <w:pStyle w:val="BodyTextPolicyContact"/>
      </w:pPr>
      <w:r>
        <w:t>Policy contact: Administrative Services</w:t>
      </w:r>
    </w:p>
    <w:p w14:paraId="27A82ABD" w14:textId="77777777" w:rsidR="009B42A9" w:rsidRDefault="009B42A9" w:rsidP="009B42A9">
      <w:pPr>
        <w:pStyle w:val="RelatedPP"/>
      </w:pPr>
      <w:r>
        <w:t>Related policies and procedures</w:t>
      </w:r>
    </w:p>
    <w:p w14:paraId="797C6475" w14:textId="77777777" w:rsidR="009B42A9" w:rsidRPr="001569AE" w:rsidRDefault="00A04956" w:rsidP="009B42A9">
      <w:pPr>
        <w:pStyle w:val="000000RelatedPolicies"/>
      </w:pPr>
      <w:r>
        <w:lastRenderedPageBreak/>
        <w:t>None identified at this time</w:t>
      </w:r>
    </w:p>
    <w:sectPr w:rsidR="009B42A9" w:rsidRPr="001569AE" w:rsidSect="008C7A5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D6CA" w14:textId="77777777" w:rsidR="00D94DC0" w:rsidRDefault="00D94DC0">
      <w:r>
        <w:separator/>
      </w:r>
    </w:p>
  </w:endnote>
  <w:endnote w:type="continuationSeparator" w:id="0">
    <w:p w14:paraId="1F45E086" w14:textId="77777777" w:rsidR="00D94DC0" w:rsidRDefault="00D9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A8EF" w14:textId="77777777" w:rsidR="00A80610" w:rsidRDefault="00A80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C187" w14:textId="77777777" w:rsidR="00A80610" w:rsidRDefault="00A806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F53C" w14:textId="77777777" w:rsidR="00A80610" w:rsidRDefault="00A806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3E0D" w14:textId="77777777" w:rsidR="00D94DC0" w:rsidRDefault="00D94DC0">
      <w:r>
        <w:separator/>
      </w:r>
    </w:p>
  </w:footnote>
  <w:footnote w:type="continuationSeparator" w:id="0">
    <w:p w14:paraId="7C6AD9E2" w14:textId="77777777" w:rsidR="00D94DC0" w:rsidRDefault="00D9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5F81" w14:textId="77777777" w:rsidR="00A80610" w:rsidRDefault="00A806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1B1B"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45D0DED5" w14:textId="77777777" w:rsidR="009038FA" w:rsidRDefault="009038FA" w:rsidP="009038FA">
    <w:r>
      <w:rPr>
        <w:rFonts w:eastAsia="MS Mincho"/>
      </w:rPr>
      <w:t>BOARD POLICY STATEMENT</w:t>
    </w:r>
  </w:p>
  <w:p w14:paraId="79016D50"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B3C6" w14:textId="77777777" w:rsidR="00A80610" w:rsidRDefault="00A806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2416678">
    <w:abstractNumId w:val="11"/>
  </w:num>
  <w:num w:numId="2" w16cid:durableId="1529027631">
    <w:abstractNumId w:val="12"/>
  </w:num>
  <w:num w:numId="3" w16cid:durableId="1923685607">
    <w:abstractNumId w:val="28"/>
  </w:num>
  <w:num w:numId="4" w16cid:durableId="987127436">
    <w:abstractNumId w:val="29"/>
  </w:num>
  <w:num w:numId="5" w16cid:durableId="1824542647">
    <w:abstractNumId w:val="26"/>
  </w:num>
  <w:num w:numId="6" w16cid:durableId="2140151001">
    <w:abstractNumId w:val="3"/>
  </w:num>
  <w:num w:numId="7" w16cid:durableId="2057926577">
    <w:abstractNumId w:val="10"/>
  </w:num>
  <w:num w:numId="8" w16cid:durableId="1317103091">
    <w:abstractNumId w:val="27"/>
  </w:num>
  <w:num w:numId="9" w16cid:durableId="1880169324">
    <w:abstractNumId w:val="22"/>
  </w:num>
  <w:num w:numId="10" w16cid:durableId="781918186">
    <w:abstractNumId w:val="7"/>
  </w:num>
  <w:num w:numId="11" w16cid:durableId="394011046">
    <w:abstractNumId w:val="20"/>
  </w:num>
  <w:num w:numId="12" w16cid:durableId="900603437">
    <w:abstractNumId w:val="31"/>
  </w:num>
  <w:num w:numId="13" w16cid:durableId="599870931">
    <w:abstractNumId w:val="0"/>
  </w:num>
  <w:num w:numId="14" w16cid:durableId="322513859">
    <w:abstractNumId w:val="13"/>
  </w:num>
  <w:num w:numId="15" w16cid:durableId="1471288147">
    <w:abstractNumId w:val="18"/>
  </w:num>
  <w:num w:numId="16" w16cid:durableId="164706344">
    <w:abstractNumId w:val="14"/>
  </w:num>
  <w:num w:numId="17" w16cid:durableId="552738949">
    <w:abstractNumId w:val="2"/>
  </w:num>
  <w:num w:numId="18" w16cid:durableId="1691298313">
    <w:abstractNumId w:val="33"/>
  </w:num>
  <w:num w:numId="19" w16cid:durableId="1883858117">
    <w:abstractNumId w:val="8"/>
  </w:num>
  <w:num w:numId="20" w16cid:durableId="761343161">
    <w:abstractNumId w:val="30"/>
  </w:num>
  <w:num w:numId="21" w16cid:durableId="809128667">
    <w:abstractNumId w:val="24"/>
  </w:num>
  <w:num w:numId="22" w16cid:durableId="1188106871">
    <w:abstractNumId w:val="38"/>
  </w:num>
  <w:num w:numId="23" w16cid:durableId="1710912700">
    <w:abstractNumId w:val="17"/>
  </w:num>
  <w:num w:numId="24" w16cid:durableId="678655077">
    <w:abstractNumId w:val="21"/>
  </w:num>
  <w:num w:numId="25" w16cid:durableId="537857910">
    <w:abstractNumId w:val="37"/>
  </w:num>
  <w:num w:numId="26" w16cid:durableId="698697446">
    <w:abstractNumId w:val="39"/>
  </w:num>
  <w:num w:numId="27" w16cid:durableId="1627157788">
    <w:abstractNumId w:val="23"/>
  </w:num>
  <w:num w:numId="28" w16cid:durableId="298920797">
    <w:abstractNumId w:val="36"/>
  </w:num>
  <w:num w:numId="29" w16cid:durableId="1522206602">
    <w:abstractNumId w:val="35"/>
  </w:num>
  <w:num w:numId="30" w16cid:durableId="27920272">
    <w:abstractNumId w:val="34"/>
  </w:num>
  <w:num w:numId="31" w16cid:durableId="369959540">
    <w:abstractNumId w:val="9"/>
  </w:num>
  <w:num w:numId="32" w16cid:durableId="1727488999">
    <w:abstractNumId w:val="32"/>
  </w:num>
  <w:num w:numId="33" w16cid:durableId="257568051">
    <w:abstractNumId w:val="4"/>
  </w:num>
  <w:num w:numId="34" w16cid:durableId="1610963473">
    <w:abstractNumId w:val="16"/>
  </w:num>
  <w:num w:numId="35" w16cid:durableId="1064067652">
    <w:abstractNumId w:val="15"/>
  </w:num>
  <w:num w:numId="36" w16cid:durableId="1136678148">
    <w:abstractNumId w:val="6"/>
  </w:num>
  <w:num w:numId="37" w16cid:durableId="1833910593">
    <w:abstractNumId w:val="1"/>
  </w:num>
  <w:num w:numId="38" w16cid:durableId="1072891424">
    <w:abstractNumId w:val="25"/>
  </w:num>
  <w:num w:numId="39" w16cid:durableId="1140998136">
    <w:abstractNumId w:val="19"/>
  </w:num>
  <w:num w:numId="40" w16cid:durableId="1715277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12F0"/>
    <w:rsid w:val="000A7AE6"/>
    <w:rsid w:val="000B4BD4"/>
    <w:rsid w:val="000C7FB4"/>
    <w:rsid w:val="000F487E"/>
    <w:rsid w:val="000F4899"/>
    <w:rsid w:val="000F5C9F"/>
    <w:rsid w:val="00114ADF"/>
    <w:rsid w:val="00116C64"/>
    <w:rsid w:val="00130843"/>
    <w:rsid w:val="001333F9"/>
    <w:rsid w:val="00137102"/>
    <w:rsid w:val="00153833"/>
    <w:rsid w:val="001569AE"/>
    <w:rsid w:val="00167DCB"/>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8582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934B1"/>
    <w:rsid w:val="008B2765"/>
    <w:rsid w:val="008B6129"/>
    <w:rsid w:val="008C7A5C"/>
    <w:rsid w:val="008D3411"/>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2A9"/>
    <w:rsid w:val="009B4F39"/>
    <w:rsid w:val="009C0C4C"/>
    <w:rsid w:val="009C2727"/>
    <w:rsid w:val="009C317C"/>
    <w:rsid w:val="009C529A"/>
    <w:rsid w:val="009D023A"/>
    <w:rsid w:val="009D1D5C"/>
    <w:rsid w:val="009D4EF4"/>
    <w:rsid w:val="009E0EEF"/>
    <w:rsid w:val="009E29F7"/>
    <w:rsid w:val="009F2C57"/>
    <w:rsid w:val="009F3AFA"/>
    <w:rsid w:val="00A0005D"/>
    <w:rsid w:val="00A003A9"/>
    <w:rsid w:val="00A00B43"/>
    <w:rsid w:val="00A024B0"/>
    <w:rsid w:val="00A0316F"/>
    <w:rsid w:val="00A031F3"/>
    <w:rsid w:val="00A041A5"/>
    <w:rsid w:val="00A04956"/>
    <w:rsid w:val="00A05B30"/>
    <w:rsid w:val="00A060D6"/>
    <w:rsid w:val="00A13C14"/>
    <w:rsid w:val="00A14819"/>
    <w:rsid w:val="00A31AA6"/>
    <w:rsid w:val="00A325BC"/>
    <w:rsid w:val="00A32FF7"/>
    <w:rsid w:val="00A34524"/>
    <w:rsid w:val="00A363FB"/>
    <w:rsid w:val="00A606D9"/>
    <w:rsid w:val="00A73148"/>
    <w:rsid w:val="00A7321E"/>
    <w:rsid w:val="00A73347"/>
    <w:rsid w:val="00A755A1"/>
    <w:rsid w:val="00A80610"/>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A3E5F"/>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50E6"/>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4DC0"/>
    <w:rsid w:val="00D970ED"/>
    <w:rsid w:val="00DA1BCC"/>
    <w:rsid w:val="00DB045C"/>
    <w:rsid w:val="00DB074E"/>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B5908"/>
    <w:rsid w:val="00EC447F"/>
    <w:rsid w:val="00EC7921"/>
    <w:rsid w:val="00ED3148"/>
    <w:rsid w:val="00ED452B"/>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4385"/>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1E3DD8"/>
  <w15:docId w15:val="{12AD4C1E-B259-4E95-A59F-D89D2157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9AE"/>
    <w:rPr>
      <w:rFonts w:ascii="Arial" w:hAnsi="Arial"/>
      <w:sz w:val="22"/>
    </w:rPr>
  </w:style>
  <w:style w:type="paragraph" w:styleId="Heading1">
    <w:name w:val="heading 1"/>
    <w:basedOn w:val="Normal"/>
    <w:next w:val="Normal"/>
    <w:link w:val="Heading1Char"/>
    <w:qFormat/>
    <w:rsid w:val="00FD4385"/>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FD4385"/>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569AE"/>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1569AE"/>
    <w:pPr>
      <w:tabs>
        <w:tab w:val="left" w:pos="1080"/>
      </w:tabs>
      <w:spacing w:after="120"/>
      <w:ind w:left="1080" w:hanging="360"/>
      <w:outlineLvl w:val="3"/>
    </w:pPr>
  </w:style>
  <w:style w:type="paragraph" w:styleId="Heading5">
    <w:name w:val="heading 5"/>
    <w:basedOn w:val="Normal"/>
    <w:next w:val="Normal"/>
    <w:link w:val="Heading5Char"/>
    <w:qFormat/>
    <w:rsid w:val="001569AE"/>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1569AE"/>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569AE"/>
    <w:pPr>
      <w:tabs>
        <w:tab w:val="decimal" w:pos="540"/>
        <w:tab w:val="left" w:pos="1260"/>
      </w:tabs>
    </w:pPr>
  </w:style>
  <w:style w:type="paragraph" w:styleId="BalloonText">
    <w:name w:val="Balloon Text"/>
    <w:basedOn w:val="Normal"/>
    <w:link w:val="BalloonTextChar"/>
    <w:semiHidden/>
    <w:rsid w:val="001569AE"/>
    <w:rPr>
      <w:rFonts w:ascii="Tahoma" w:hAnsi="Tahoma" w:cs="Tahoma"/>
      <w:sz w:val="16"/>
      <w:szCs w:val="16"/>
    </w:rPr>
  </w:style>
  <w:style w:type="character" w:customStyle="1" w:styleId="BalloonTextChar">
    <w:name w:val="Balloon Text Char"/>
    <w:link w:val="BalloonText"/>
    <w:semiHidden/>
    <w:rsid w:val="001569AE"/>
    <w:rPr>
      <w:rFonts w:ascii="Tahoma" w:hAnsi="Tahoma" w:cs="Tahoma"/>
      <w:sz w:val="16"/>
      <w:szCs w:val="16"/>
    </w:rPr>
  </w:style>
  <w:style w:type="paragraph" w:styleId="BlockText">
    <w:name w:val="Block Text"/>
    <w:basedOn w:val="Normal"/>
    <w:rsid w:val="001569AE"/>
    <w:pPr>
      <w:spacing w:after="120"/>
      <w:ind w:left="1440" w:right="1440"/>
    </w:pPr>
    <w:rPr>
      <w:rFonts w:eastAsiaTheme="minorEastAsia" w:cstheme="minorBidi"/>
    </w:rPr>
  </w:style>
  <w:style w:type="paragraph" w:customStyle="1" w:styleId="Blockquote">
    <w:name w:val="Blockquote"/>
    <w:basedOn w:val="Normal"/>
    <w:rsid w:val="001569AE"/>
    <w:pPr>
      <w:spacing w:before="100" w:after="100"/>
      <w:ind w:left="360" w:right="360"/>
    </w:pPr>
    <w:rPr>
      <w:snapToGrid w:val="0"/>
    </w:rPr>
  </w:style>
  <w:style w:type="paragraph" w:styleId="BodyText">
    <w:name w:val="Body Text"/>
    <w:basedOn w:val="Normal"/>
    <w:link w:val="BodyTextChar"/>
    <w:autoRedefine/>
    <w:qFormat/>
    <w:rsid w:val="001569AE"/>
    <w:pPr>
      <w:spacing w:after="120"/>
    </w:pPr>
    <w:rPr>
      <w:szCs w:val="22"/>
    </w:rPr>
  </w:style>
  <w:style w:type="character" w:customStyle="1" w:styleId="BodyTextChar">
    <w:name w:val="Body Text Char"/>
    <w:link w:val="BodyText"/>
    <w:rsid w:val="001569AE"/>
    <w:rPr>
      <w:rFonts w:ascii="Arial" w:hAnsi="Arial"/>
      <w:sz w:val="22"/>
      <w:szCs w:val="22"/>
    </w:rPr>
  </w:style>
  <w:style w:type="paragraph" w:customStyle="1" w:styleId="BodyText25Italic">
    <w:name w:val="Body Text .25&quot; Italic"/>
    <w:basedOn w:val="BodyText"/>
    <w:next w:val="BodyText"/>
    <w:rsid w:val="001569AE"/>
    <w:rPr>
      <w:i/>
      <w:iCs/>
    </w:rPr>
  </w:style>
  <w:style w:type="paragraph" w:customStyle="1" w:styleId="BodyTextItalic">
    <w:name w:val="Body Text + Italic"/>
    <w:basedOn w:val="BodyText"/>
    <w:rsid w:val="001569AE"/>
    <w:rPr>
      <w:i/>
      <w:iCs/>
    </w:rPr>
  </w:style>
  <w:style w:type="paragraph" w:customStyle="1" w:styleId="BodyTextItalicBOT">
    <w:name w:val="Body Text + Italic BOT"/>
    <w:next w:val="BodyText"/>
    <w:qFormat/>
    <w:rsid w:val="001569AE"/>
    <w:rPr>
      <w:rFonts w:ascii="Arial" w:hAnsi="Arial"/>
      <w:i/>
      <w:sz w:val="22"/>
      <w:szCs w:val="22"/>
    </w:rPr>
  </w:style>
  <w:style w:type="paragraph" w:customStyle="1" w:styleId="BodyText025">
    <w:name w:val="Body Text 0.25&quot;"/>
    <w:basedOn w:val="Normal"/>
    <w:autoRedefine/>
    <w:rsid w:val="001569AE"/>
    <w:pPr>
      <w:spacing w:after="120"/>
      <w:ind w:left="360"/>
    </w:pPr>
    <w:rPr>
      <w:szCs w:val="24"/>
    </w:rPr>
  </w:style>
  <w:style w:type="paragraph" w:customStyle="1" w:styleId="BodyText05">
    <w:name w:val="Body Text 0.5&quot;"/>
    <w:basedOn w:val="BodyText"/>
    <w:autoRedefine/>
    <w:qFormat/>
    <w:rsid w:val="001569AE"/>
    <w:pPr>
      <w:ind w:left="720"/>
    </w:pPr>
    <w:rPr>
      <w:szCs w:val="20"/>
    </w:rPr>
  </w:style>
  <w:style w:type="paragraph" w:customStyle="1" w:styleId="BodyText075">
    <w:name w:val="Body Text 0.75&quot;"/>
    <w:basedOn w:val="BodyText"/>
    <w:autoRedefine/>
    <w:qFormat/>
    <w:rsid w:val="001569AE"/>
    <w:pPr>
      <w:ind w:left="1080"/>
    </w:pPr>
  </w:style>
  <w:style w:type="paragraph" w:styleId="BodyTextIndent">
    <w:name w:val="Body Text Indent"/>
    <w:basedOn w:val="Normal"/>
    <w:link w:val="BodyTextIndentChar"/>
    <w:rsid w:val="001569AE"/>
    <w:pPr>
      <w:spacing w:after="120"/>
      <w:ind w:left="360"/>
    </w:pPr>
    <w:rPr>
      <w:szCs w:val="24"/>
    </w:rPr>
  </w:style>
  <w:style w:type="character" w:customStyle="1" w:styleId="BodyTextIndentChar">
    <w:name w:val="Body Text Indent Char"/>
    <w:link w:val="BodyTextIndent"/>
    <w:rsid w:val="001569AE"/>
    <w:rPr>
      <w:rFonts w:ascii="Arial" w:hAnsi="Arial"/>
      <w:sz w:val="22"/>
      <w:szCs w:val="24"/>
    </w:rPr>
  </w:style>
  <w:style w:type="paragraph" w:styleId="BodyTextIndent2">
    <w:name w:val="Body Text Indent 2"/>
    <w:basedOn w:val="Normal"/>
    <w:link w:val="BodyTextIndent2Char"/>
    <w:rsid w:val="001569AE"/>
    <w:pPr>
      <w:spacing w:after="120" w:line="480" w:lineRule="auto"/>
      <w:ind w:left="360"/>
    </w:pPr>
  </w:style>
  <w:style w:type="character" w:customStyle="1" w:styleId="BodyTextIndent2Char">
    <w:name w:val="Body Text Indent 2 Char"/>
    <w:link w:val="BodyTextIndent2"/>
    <w:rsid w:val="001569AE"/>
    <w:rPr>
      <w:rFonts w:ascii="Arial" w:hAnsi="Arial"/>
      <w:sz w:val="22"/>
    </w:rPr>
  </w:style>
  <w:style w:type="paragraph" w:styleId="BodyTextIndent3">
    <w:name w:val="Body Text Indent 3"/>
    <w:basedOn w:val="Normal"/>
    <w:link w:val="BodyTextIndent3Char"/>
    <w:rsid w:val="001569AE"/>
    <w:pPr>
      <w:spacing w:after="120"/>
      <w:ind w:left="360"/>
    </w:pPr>
    <w:rPr>
      <w:sz w:val="16"/>
      <w:szCs w:val="16"/>
    </w:rPr>
  </w:style>
  <w:style w:type="character" w:customStyle="1" w:styleId="BodyTextIndent3Char">
    <w:name w:val="Body Text Indent 3 Char"/>
    <w:link w:val="BodyTextIndent3"/>
    <w:rsid w:val="001569AE"/>
    <w:rPr>
      <w:rFonts w:ascii="Arial" w:hAnsi="Arial"/>
      <w:sz w:val="16"/>
      <w:szCs w:val="16"/>
    </w:rPr>
  </w:style>
  <w:style w:type="paragraph" w:customStyle="1" w:styleId="BodyTextPolicyContact">
    <w:name w:val="Body Text Policy Contact"/>
    <w:basedOn w:val="Normal"/>
    <w:qFormat/>
    <w:rsid w:val="001569AE"/>
    <w:pPr>
      <w:spacing w:before="120"/>
    </w:pPr>
  </w:style>
  <w:style w:type="character" w:styleId="CommentReference">
    <w:name w:val="annotation reference"/>
    <w:rsid w:val="001569AE"/>
    <w:rPr>
      <w:sz w:val="16"/>
      <w:szCs w:val="16"/>
    </w:rPr>
  </w:style>
  <w:style w:type="paragraph" w:styleId="CommentText">
    <w:name w:val="annotation text"/>
    <w:basedOn w:val="Normal"/>
    <w:link w:val="CommentTextChar"/>
    <w:semiHidden/>
    <w:rsid w:val="001569AE"/>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569AE"/>
    <w:rPr>
      <w:rFonts w:ascii="Arial" w:hAnsi="Arial"/>
      <w:sz w:val="22"/>
    </w:rPr>
  </w:style>
  <w:style w:type="paragraph" w:customStyle="1" w:styleId="CommentSubject1">
    <w:name w:val="Comment Subject1"/>
    <w:basedOn w:val="CommentText"/>
    <w:next w:val="CommentText"/>
    <w:link w:val="CommentSubjectChar"/>
    <w:rsid w:val="001569AE"/>
    <w:rPr>
      <w:b/>
      <w:bCs/>
    </w:rPr>
  </w:style>
  <w:style w:type="character" w:customStyle="1" w:styleId="CommentSubjectChar">
    <w:name w:val="Comment Subject Char"/>
    <w:link w:val="CommentSubject1"/>
    <w:rsid w:val="001569AE"/>
    <w:rPr>
      <w:rFonts w:ascii="Arial" w:hAnsi="Arial"/>
      <w:b/>
      <w:bCs/>
      <w:sz w:val="22"/>
    </w:rPr>
  </w:style>
  <w:style w:type="paragraph" w:styleId="EnvelopeAddress">
    <w:name w:val="envelope address"/>
    <w:basedOn w:val="Normal"/>
    <w:rsid w:val="001569AE"/>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1569AE"/>
    <w:rPr>
      <w:color w:val="800080"/>
      <w:u w:val="single"/>
    </w:rPr>
  </w:style>
  <w:style w:type="paragraph" w:styleId="Footer">
    <w:name w:val="footer"/>
    <w:basedOn w:val="Normal"/>
    <w:link w:val="FooterChar"/>
    <w:rsid w:val="001569AE"/>
    <w:pPr>
      <w:tabs>
        <w:tab w:val="center" w:pos="4320"/>
        <w:tab w:val="right" w:pos="8640"/>
      </w:tabs>
    </w:pPr>
  </w:style>
  <w:style w:type="character" w:customStyle="1" w:styleId="FooterChar">
    <w:name w:val="Footer Char"/>
    <w:link w:val="Footer"/>
    <w:rsid w:val="001569AE"/>
    <w:rPr>
      <w:rFonts w:ascii="Arial" w:hAnsi="Arial"/>
      <w:sz w:val="22"/>
    </w:rPr>
  </w:style>
  <w:style w:type="paragraph" w:customStyle="1" w:styleId="H2">
    <w:name w:val="H2"/>
    <w:basedOn w:val="Normal"/>
    <w:next w:val="Normal"/>
    <w:rsid w:val="001569AE"/>
    <w:pPr>
      <w:keepNext/>
      <w:spacing w:before="100" w:after="100"/>
      <w:outlineLvl w:val="2"/>
    </w:pPr>
    <w:rPr>
      <w:b/>
      <w:snapToGrid w:val="0"/>
      <w:sz w:val="36"/>
    </w:rPr>
  </w:style>
  <w:style w:type="paragraph" w:styleId="Header">
    <w:name w:val="header"/>
    <w:basedOn w:val="Normal"/>
    <w:link w:val="HeaderChar"/>
    <w:rsid w:val="001569AE"/>
    <w:pPr>
      <w:tabs>
        <w:tab w:val="center" w:pos="4320"/>
        <w:tab w:val="right" w:pos="8640"/>
      </w:tabs>
    </w:pPr>
    <w:rPr>
      <w:szCs w:val="24"/>
    </w:rPr>
  </w:style>
  <w:style w:type="character" w:customStyle="1" w:styleId="HeaderChar">
    <w:name w:val="Header Char"/>
    <w:link w:val="Header"/>
    <w:rsid w:val="001569AE"/>
    <w:rPr>
      <w:rFonts w:ascii="Arial" w:hAnsi="Arial"/>
      <w:sz w:val="22"/>
      <w:szCs w:val="24"/>
    </w:rPr>
  </w:style>
  <w:style w:type="character" w:customStyle="1" w:styleId="Heading1Char">
    <w:name w:val="Heading 1 Char"/>
    <w:link w:val="Heading1"/>
    <w:rsid w:val="00FD4385"/>
    <w:rPr>
      <w:rFonts w:ascii="Arial" w:hAnsi="Arial"/>
      <w:b/>
      <w:sz w:val="22"/>
      <w:szCs w:val="22"/>
    </w:rPr>
  </w:style>
  <w:style w:type="character" w:customStyle="1" w:styleId="Heading2Char">
    <w:name w:val="Heading 2 Char"/>
    <w:link w:val="Heading2"/>
    <w:rsid w:val="00FD4385"/>
    <w:rPr>
      <w:rFonts w:ascii="Arial" w:eastAsia="MS Mincho" w:hAnsi="Arial"/>
      <w:b/>
      <w:sz w:val="22"/>
      <w:szCs w:val="22"/>
    </w:rPr>
  </w:style>
  <w:style w:type="character" w:customStyle="1" w:styleId="Heading3Char">
    <w:name w:val="Heading 3 Char"/>
    <w:link w:val="Heading3"/>
    <w:rsid w:val="001569AE"/>
    <w:rPr>
      <w:rFonts w:ascii="Arial" w:eastAsiaTheme="majorEastAsia" w:hAnsi="Arial" w:cstheme="majorBidi"/>
      <w:sz w:val="22"/>
      <w:szCs w:val="24"/>
    </w:rPr>
  </w:style>
  <w:style w:type="character" w:customStyle="1" w:styleId="Heading4Char">
    <w:name w:val="Heading 4 Char"/>
    <w:link w:val="Heading4"/>
    <w:rsid w:val="001569AE"/>
    <w:rPr>
      <w:rFonts w:ascii="Arial" w:hAnsi="Arial"/>
      <w:sz w:val="22"/>
    </w:rPr>
  </w:style>
  <w:style w:type="character" w:customStyle="1" w:styleId="Heading5Char">
    <w:name w:val="Heading 5 Char"/>
    <w:link w:val="Heading5"/>
    <w:rsid w:val="001569AE"/>
    <w:rPr>
      <w:rFonts w:ascii="Arial" w:hAnsi="Arial"/>
      <w:sz w:val="22"/>
    </w:rPr>
  </w:style>
  <w:style w:type="character" w:customStyle="1" w:styleId="Heading6Char">
    <w:name w:val="Heading 6 Char"/>
    <w:link w:val="Heading6"/>
    <w:rsid w:val="001569AE"/>
    <w:rPr>
      <w:rFonts w:ascii="Arial" w:eastAsiaTheme="minorEastAsia" w:hAnsi="Arial" w:cstheme="minorBidi"/>
      <w:b/>
      <w:bCs/>
      <w:sz w:val="22"/>
      <w:szCs w:val="22"/>
    </w:rPr>
  </w:style>
  <w:style w:type="paragraph" w:styleId="HTMLPreformatted">
    <w:name w:val="HTML Preformatted"/>
    <w:basedOn w:val="Normal"/>
    <w:link w:val="HTMLPreformattedChar"/>
    <w:rsid w:val="001569AE"/>
    <w:rPr>
      <w:rFonts w:ascii="Courier New" w:hAnsi="Courier New" w:cs="Courier New"/>
    </w:rPr>
  </w:style>
  <w:style w:type="character" w:customStyle="1" w:styleId="HTMLPreformattedChar">
    <w:name w:val="HTML Preformatted Char"/>
    <w:link w:val="HTMLPreformatted"/>
    <w:rsid w:val="001569AE"/>
    <w:rPr>
      <w:rFonts w:ascii="Courier New" w:hAnsi="Courier New" w:cs="Courier New"/>
      <w:sz w:val="22"/>
    </w:rPr>
  </w:style>
  <w:style w:type="character" w:styleId="Hyperlink">
    <w:name w:val="Hyperlink"/>
    <w:rsid w:val="001569AE"/>
    <w:rPr>
      <w:color w:val="0000FF"/>
      <w:u w:val="single"/>
    </w:rPr>
  </w:style>
  <w:style w:type="paragraph" w:styleId="ListParagraph">
    <w:name w:val="List Paragraph"/>
    <w:basedOn w:val="Normal"/>
    <w:uiPriority w:val="34"/>
    <w:qFormat/>
    <w:rsid w:val="001569AE"/>
    <w:pPr>
      <w:ind w:left="720"/>
    </w:pPr>
  </w:style>
  <w:style w:type="paragraph" w:styleId="NormalWeb">
    <w:name w:val="Normal (Web)"/>
    <w:basedOn w:val="Normal"/>
    <w:autoRedefine/>
    <w:rsid w:val="001569AE"/>
  </w:style>
  <w:style w:type="paragraph" w:styleId="PlainText">
    <w:name w:val="Plain Text"/>
    <w:basedOn w:val="Normal"/>
    <w:link w:val="PlainTextChar"/>
    <w:rsid w:val="001569AE"/>
    <w:rPr>
      <w:rFonts w:ascii="Courier New" w:hAnsi="Courier New" w:cs="Courier New"/>
    </w:rPr>
  </w:style>
  <w:style w:type="character" w:customStyle="1" w:styleId="PlainTextChar">
    <w:name w:val="Plain Text Char"/>
    <w:link w:val="PlainText"/>
    <w:rsid w:val="001569AE"/>
    <w:rPr>
      <w:rFonts w:ascii="Courier New" w:hAnsi="Courier New" w:cs="Courier New"/>
      <w:sz w:val="22"/>
    </w:rPr>
  </w:style>
  <w:style w:type="paragraph" w:customStyle="1" w:styleId="RelatedPP">
    <w:name w:val="Related P &amp; P"/>
    <w:basedOn w:val="Normal"/>
    <w:next w:val="BodyText"/>
    <w:qFormat/>
    <w:rsid w:val="001569AE"/>
    <w:pPr>
      <w:spacing w:before="120" w:after="120"/>
    </w:pPr>
    <w:rPr>
      <w:b/>
    </w:rPr>
  </w:style>
  <w:style w:type="character" w:styleId="Strong">
    <w:name w:val="Strong"/>
    <w:qFormat/>
    <w:rsid w:val="001569AE"/>
    <w:rPr>
      <w:b/>
      <w:bCs/>
    </w:rPr>
  </w:style>
  <w:style w:type="paragraph" w:styleId="Title">
    <w:name w:val="Title"/>
    <w:basedOn w:val="Normal"/>
    <w:link w:val="TitleChar"/>
    <w:qFormat/>
    <w:rsid w:val="001569AE"/>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1569AE"/>
    <w:rPr>
      <w:rFonts w:ascii="Calibri Light" w:eastAsiaTheme="majorEastAsia" w:hAnsi="Calibri Light"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178552">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92603">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B06AC-F95A-41F3-B88F-451A1662130E}">
  <ds:schemaRefs>
    <ds:schemaRef ds:uri="http://schemas.microsoft.com/sharepoint/v3/contenttype/forms"/>
  </ds:schemaRefs>
</ds:datastoreItem>
</file>

<file path=customXml/itemProps2.xml><?xml version="1.0" encoding="utf-8"?>
<ds:datastoreItem xmlns:ds="http://schemas.openxmlformats.org/officeDocument/2006/customXml" ds:itemID="{87CBAE2C-7AA0-436D-8AB1-4C69DF869DF8}">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7C090D9-358A-4650-AB38-F0E6FA5F7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2EDBF4-6EBA-43E1-B907-5F67EC10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2681</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8</cp:revision>
  <cp:lastPrinted>2009-05-01T22:40:00Z</cp:lastPrinted>
  <dcterms:created xsi:type="dcterms:W3CDTF">2016-10-11T17:16:00Z</dcterms:created>
  <dcterms:modified xsi:type="dcterms:W3CDTF">2023-03-25T18:15:00Z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